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B5F4F" w14:textId="2ADD9D04" w:rsidR="00F54A0A" w:rsidRPr="00553928" w:rsidRDefault="00F54A0A" w:rsidP="00F54A0A">
      <w:pPr>
        <w:pStyle w:val="Header"/>
        <w:rPr>
          <w:rFonts w:cs="Arial"/>
          <w:sz w:val="22"/>
          <w:szCs w:val="22"/>
          <w:lang w:val="en-US"/>
        </w:rPr>
      </w:pPr>
      <w:r w:rsidRPr="006A4D04">
        <w:rPr>
          <w:rFonts w:cs="Arial"/>
          <w:sz w:val="22"/>
          <w:szCs w:val="22"/>
          <w:lang w:val="en-US"/>
        </w:rPr>
        <w:t>3GPP TSG-SA3 Meeting #122</w:t>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r>
      <w:r w:rsidRPr="006A4D04">
        <w:rPr>
          <w:rFonts w:cs="Arial"/>
          <w:sz w:val="22"/>
          <w:szCs w:val="22"/>
          <w:lang w:val="en-US"/>
        </w:rPr>
        <w:tab/>
        <w:t>S3-25</w:t>
      </w:r>
      <w:r w:rsidR="006A4D04" w:rsidRPr="006A4D04">
        <w:rPr>
          <w:rFonts w:cs="Arial"/>
          <w:sz w:val="22"/>
          <w:szCs w:val="22"/>
          <w:lang w:val="en-US"/>
        </w:rPr>
        <w:t>2182</w:t>
      </w:r>
    </w:p>
    <w:p w14:paraId="53341FC2" w14:textId="77777777" w:rsidR="00EE33A2" w:rsidRPr="00872560" w:rsidRDefault="00F54A0A" w:rsidP="00F54A0A">
      <w:pPr>
        <w:pStyle w:val="Header"/>
        <w:rPr>
          <w:b w:val="0"/>
          <w:bCs/>
          <w:noProof/>
          <w:sz w:val="24"/>
        </w:rPr>
      </w:pPr>
      <w:r w:rsidRPr="00553928">
        <w:rPr>
          <w:rFonts w:cs="Arial"/>
          <w:sz w:val="22"/>
          <w:szCs w:val="22"/>
          <w:lang w:val="en-US"/>
        </w:rPr>
        <w:t>Fukuoka, Japan, 19 – 23 May 2025</w:t>
      </w:r>
    </w:p>
    <w:p w14:paraId="11B328F3" w14:textId="77777777" w:rsidR="0010401F" w:rsidRDefault="0010401F">
      <w:pPr>
        <w:keepNext/>
        <w:pBdr>
          <w:bottom w:val="single" w:sz="4" w:space="1" w:color="auto"/>
        </w:pBdr>
        <w:tabs>
          <w:tab w:val="right" w:pos="9639"/>
        </w:tabs>
        <w:outlineLvl w:val="0"/>
        <w:rPr>
          <w:rFonts w:ascii="Arial" w:hAnsi="Arial" w:cs="Arial"/>
          <w:b/>
          <w:sz w:val="24"/>
        </w:rPr>
      </w:pPr>
    </w:p>
    <w:p w14:paraId="2136B318" w14:textId="64DE843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53928">
        <w:rPr>
          <w:rFonts w:ascii="Arial" w:hAnsi="Arial"/>
          <w:b/>
          <w:lang w:val="en-US"/>
        </w:rPr>
        <w:t>Ericsson</w:t>
      </w:r>
    </w:p>
    <w:p w14:paraId="4A8157C4" w14:textId="2A8583F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34FAF" w:rsidRPr="00034FAF">
        <w:rPr>
          <w:rFonts w:ascii="Arial" w:hAnsi="Arial" w:cs="Arial"/>
          <w:b/>
        </w:rPr>
        <w:t xml:space="preserve">Comparison of AES-CCM, AES-GCM, and AES-GCM-SST for </w:t>
      </w:r>
      <w:r w:rsidR="005345E7">
        <w:rPr>
          <w:rFonts w:ascii="Arial" w:hAnsi="Arial" w:cs="Arial"/>
          <w:b/>
        </w:rPr>
        <w:t>p</w:t>
      </w:r>
      <w:r w:rsidR="00034FAF" w:rsidRPr="00034FAF">
        <w:rPr>
          <w:rFonts w:ascii="Arial" w:hAnsi="Arial" w:cs="Arial"/>
          <w:b/>
        </w:rPr>
        <w:t>rotection of XRM Metadata</w:t>
      </w:r>
    </w:p>
    <w:p w14:paraId="5F10CEF2" w14:textId="7E55B3A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53928">
        <w:rPr>
          <w:rFonts w:ascii="Arial" w:hAnsi="Arial"/>
          <w:b/>
          <w:lang w:eastAsia="zh-CN"/>
        </w:rPr>
        <w:t>Endorsement</w:t>
      </w:r>
    </w:p>
    <w:p w14:paraId="22E00477" w14:textId="79F322B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53928">
        <w:rPr>
          <w:rFonts w:ascii="Arial" w:hAnsi="Arial"/>
          <w:b/>
        </w:rPr>
        <w:t>4.27</w:t>
      </w:r>
    </w:p>
    <w:p w14:paraId="071807F3" w14:textId="77777777" w:rsidR="00C022E3" w:rsidRDefault="00C022E3">
      <w:pPr>
        <w:pStyle w:val="Heading1"/>
      </w:pPr>
      <w:r>
        <w:t>1</w:t>
      </w:r>
      <w:r>
        <w:tab/>
        <w:t>Decision/action requested</w:t>
      </w:r>
    </w:p>
    <w:p w14:paraId="3FF5AA07" w14:textId="5016D26B" w:rsidR="00C022E3" w:rsidRDefault="005539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document provides a </w:t>
      </w:r>
      <w:r w:rsidR="00CE30CA">
        <w:rPr>
          <w:b/>
          <w:i/>
        </w:rPr>
        <w:t>c</w:t>
      </w:r>
      <w:r w:rsidR="00CE30CA" w:rsidRPr="00CE30CA">
        <w:rPr>
          <w:b/>
          <w:i/>
        </w:rPr>
        <w:t xml:space="preserve">omparison of AES-CCM, AES-GCM, and AES-GCM-SST for </w:t>
      </w:r>
      <w:r w:rsidR="005345E7">
        <w:rPr>
          <w:b/>
          <w:i/>
        </w:rPr>
        <w:t>p</w:t>
      </w:r>
      <w:r w:rsidR="00CE30CA" w:rsidRPr="00CE30CA">
        <w:rPr>
          <w:b/>
          <w:i/>
        </w:rPr>
        <w:t>rotection of XRM</w:t>
      </w:r>
      <w:r w:rsidR="003B3C70">
        <w:rPr>
          <w:b/>
          <w:i/>
        </w:rPr>
        <w:t xml:space="preserve">. </w:t>
      </w:r>
    </w:p>
    <w:p w14:paraId="4E88A396" w14:textId="77777777" w:rsidR="00C022E3" w:rsidRDefault="00C022E3">
      <w:pPr>
        <w:pStyle w:val="Heading1"/>
      </w:pPr>
      <w:r>
        <w:t>2</w:t>
      </w:r>
      <w:r>
        <w:tab/>
        <w:t>References</w:t>
      </w:r>
    </w:p>
    <w:p w14:paraId="47DA1A02" w14:textId="3BC969F9" w:rsidR="000F0BEF" w:rsidRPr="000F0BEF" w:rsidRDefault="000F0BEF" w:rsidP="000F0BEF">
      <w:pPr>
        <w:pStyle w:val="Reference"/>
        <w:rPr>
          <w:lang w:val="en-US"/>
        </w:rPr>
      </w:pPr>
      <w:r w:rsidRPr="000F0BEF">
        <w:rPr>
          <w:lang w:val="en-US"/>
        </w:rPr>
        <w:t xml:space="preserve">[1] </w:t>
      </w:r>
      <w:r>
        <w:rPr>
          <w:lang w:val="en-US"/>
        </w:rPr>
        <w:tab/>
      </w:r>
      <w:r w:rsidRPr="000F0BEF">
        <w:rPr>
          <w:lang w:val="en-US"/>
        </w:rPr>
        <w:t>NIST SP 800-38C, CCM Mode for Authentication and Confidentiality</w:t>
      </w:r>
      <w:r w:rsidR="005B09C2">
        <w:rPr>
          <w:lang w:val="en-US"/>
        </w:rPr>
        <w:t xml:space="preserve"> </w:t>
      </w:r>
      <w:r w:rsidRPr="000F0BEF">
        <w:rPr>
          <w:lang w:val="en-US"/>
        </w:rPr>
        <w:t>https://nvlpubs.nist.gov/nistpubs/Legacy/SP/nistspecialpublication800-38c.pdf</w:t>
      </w:r>
    </w:p>
    <w:p w14:paraId="3A1D0BE8" w14:textId="11BEFAAB" w:rsidR="000F0BEF" w:rsidRPr="000F0BEF" w:rsidRDefault="000F0BEF" w:rsidP="000F0BEF">
      <w:pPr>
        <w:pStyle w:val="Reference"/>
        <w:rPr>
          <w:lang w:val="en-US"/>
        </w:rPr>
      </w:pPr>
      <w:r w:rsidRPr="000F0BEF">
        <w:rPr>
          <w:lang w:val="en-US"/>
        </w:rPr>
        <w:t xml:space="preserve">[2] </w:t>
      </w:r>
      <w:r w:rsidR="00E87D55">
        <w:rPr>
          <w:lang w:val="en-US"/>
        </w:rPr>
        <w:tab/>
      </w:r>
      <w:r w:rsidRPr="000F0BEF">
        <w:rPr>
          <w:lang w:val="en-US"/>
        </w:rPr>
        <w:t>NIST SP 800-38D, GCM and GMAC Block Cipher Modes of Operation</w:t>
      </w:r>
      <w:r w:rsidR="005B09C2">
        <w:rPr>
          <w:lang w:val="en-US"/>
        </w:rPr>
        <w:t xml:space="preserve"> </w:t>
      </w:r>
      <w:r w:rsidRPr="000F0BEF">
        <w:rPr>
          <w:lang w:val="en-US"/>
        </w:rPr>
        <w:t>https://nvlpubs.nist.gov/nistpubs/Legacy/SP/nistspecialpublication800-38d.pdf</w:t>
      </w:r>
    </w:p>
    <w:p w14:paraId="73F634D0" w14:textId="3FA6D3DE" w:rsidR="000F0BEF" w:rsidRPr="000F0BEF" w:rsidRDefault="000F0BEF" w:rsidP="000F0BEF">
      <w:pPr>
        <w:pStyle w:val="Reference"/>
        <w:rPr>
          <w:lang w:val="en-US"/>
        </w:rPr>
      </w:pPr>
      <w:r w:rsidRPr="000F0BEF">
        <w:rPr>
          <w:lang w:val="en-US"/>
        </w:rPr>
        <w:t xml:space="preserve">[3] </w:t>
      </w:r>
      <w:r w:rsidR="00E87D55">
        <w:rPr>
          <w:lang w:val="en-US"/>
        </w:rPr>
        <w:tab/>
      </w:r>
      <w:r w:rsidRPr="000F0BEF">
        <w:rPr>
          <w:lang w:val="en-US"/>
        </w:rPr>
        <w:t>Galois Counter Mode with Strong Secure Tags (GCM-SST)</w:t>
      </w:r>
      <w:r w:rsidR="005B09C2">
        <w:rPr>
          <w:lang w:val="en-US"/>
        </w:rPr>
        <w:t xml:space="preserve"> </w:t>
      </w:r>
      <w:r w:rsidRPr="000F0BEF">
        <w:rPr>
          <w:lang w:val="en-US"/>
        </w:rPr>
        <w:t>https://www.ietf.org/archive/id/draft-mattsson-cfrg-aes-gcm-sst-18.html</w:t>
      </w:r>
    </w:p>
    <w:p w14:paraId="4D1AFAA3" w14:textId="3D91C602" w:rsidR="000F0BEF" w:rsidRPr="000F0BEF" w:rsidRDefault="000F0BEF" w:rsidP="000F0BEF">
      <w:pPr>
        <w:pStyle w:val="Reference"/>
        <w:rPr>
          <w:lang w:val="en-US"/>
        </w:rPr>
      </w:pPr>
      <w:r w:rsidRPr="000F0BEF">
        <w:rPr>
          <w:lang w:val="en-US"/>
        </w:rPr>
        <w:t xml:space="preserve">[4] </w:t>
      </w:r>
      <w:r w:rsidR="00E87D55">
        <w:rPr>
          <w:lang w:val="en-US"/>
        </w:rPr>
        <w:tab/>
      </w:r>
      <w:r w:rsidRPr="000F0BEF">
        <w:rPr>
          <w:lang w:val="en-US"/>
        </w:rPr>
        <w:t xml:space="preserve">Evaluation of Some </w:t>
      </w:r>
      <w:proofErr w:type="spellStart"/>
      <w:r w:rsidRPr="000F0BEF">
        <w:rPr>
          <w:lang w:val="en-US"/>
        </w:rPr>
        <w:t>Blockcipher</w:t>
      </w:r>
      <w:proofErr w:type="spellEnd"/>
      <w:r w:rsidRPr="000F0BEF">
        <w:rPr>
          <w:lang w:val="en-US"/>
        </w:rPr>
        <w:t xml:space="preserve"> Modes of Operation</w:t>
      </w:r>
      <w:r w:rsidR="005B09C2">
        <w:rPr>
          <w:lang w:val="en-US"/>
        </w:rPr>
        <w:t xml:space="preserve"> </w:t>
      </w:r>
      <w:r w:rsidRPr="000F0BEF">
        <w:rPr>
          <w:lang w:val="en-US"/>
        </w:rPr>
        <w:t>https://www.cs.ucdavis.edu/~rogaway/papers/modes.pdf</w:t>
      </w:r>
    </w:p>
    <w:p w14:paraId="7A190ED6" w14:textId="303B5701" w:rsidR="000F0BEF" w:rsidRPr="000F0BEF" w:rsidRDefault="000F0BEF" w:rsidP="000F0BEF">
      <w:pPr>
        <w:pStyle w:val="Reference"/>
        <w:rPr>
          <w:lang w:val="en-US"/>
        </w:rPr>
      </w:pPr>
      <w:r w:rsidRPr="000F0BEF">
        <w:rPr>
          <w:lang w:val="en-US"/>
        </w:rPr>
        <w:t xml:space="preserve">[5] </w:t>
      </w:r>
      <w:r w:rsidR="00F805FD">
        <w:rPr>
          <w:lang w:val="en-US"/>
        </w:rPr>
        <w:tab/>
      </w:r>
      <w:r w:rsidRPr="000F0BEF">
        <w:rPr>
          <w:lang w:val="en-US"/>
        </w:rPr>
        <w:t>Public Comments on SP 800-38C</w:t>
      </w:r>
      <w:r w:rsidR="005B09C2">
        <w:rPr>
          <w:lang w:val="en-US"/>
        </w:rPr>
        <w:t xml:space="preserve"> </w:t>
      </w:r>
      <w:r w:rsidRPr="000F0BEF">
        <w:rPr>
          <w:lang w:val="en-US"/>
        </w:rPr>
        <w:t>https://csrc.nist.gov/csrc/media/Projects/crypto-publication-review-project/documents/initial-comments/sp800-38c-initial-public-comments-2024.pdf</w:t>
      </w:r>
    </w:p>
    <w:p w14:paraId="178D7870" w14:textId="5DF47D9B" w:rsidR="000F0BEF" w:rsidRPr="000F0BEF" w:rsidRDefault="000F0BEF" w:rsidP="000F0BEF">
      <w:pPr>
        <w:pStyle w:val="Reference"/>
        <w:rPr>
          <w:lang w:val="en-US"/>
        </w:rPr>
      </w:pPr>
      <w:r w:rsidRPr="000F0BEF">
        <w:rPr>
          <w:lang w:val="en-US"/>
        </w:rPr>
        <w:t xml:space="preserve">[6] </w:t>
      </w:r>
      <w:r w:rsidR="00F805FD">
        <w:rPr>
          <w:lang w:val="en-US"/>
        </w:rPr>
        <w:tab/>
      </w:r>
      <w:r w:rsidRPr="000F0BEF">
        <w:rPr>
          <w:lang w:val="en-US"/>
        </w:rPr>
        <w:t>Public Comments on SP 800-38D (2021)</w:t>
      </w:r>
      <w:r w:rsidR="005B09C2">
        <w:rPr>
          <w:lang w:val="en-US"/>
        </w:rPr>
        <w:t xml:space="preserve"> </w:t>
      </w:r>
      <w:r w:rsidRPr="000F0BEF">
        <w:rPr>
          <w:lang w:val="en-US"/>
        </w:rPr>
        <w:t>https://csrc.nist.gov/csrc/media/Projects/crypto-publication-review-project/documents/initial-comments/sp800-38d-initial-public-comments-2021.pdf</w:t>
      </w:r>
    </w:p>
    <w:p w14:paraId="6669020B" w14:textId="66E1D88C" w:rsidR="000F0BEF" w:rsidRPr="000F0BEF" w:rsidRDefault="000F0BEF" w:rsidP="000F0BEF">
      <w:pPr>
        <w:pStyle w:val="Reference"/>
        <w:rPr>
          <w:lang w:val="en-US"/>
        </w:rPr>
      </w:pPr>
      <w:r w:rsidRPr="000F0BEF">
        <w:rPr>
          <w:lang w:val="en-US"/>
        </w:rPr>
        <w:t xml:space="preserve">[7] </w:t>
      </w:r>
      <w:r w:rsidR="00F805FD">
        <w:rPr>
          <w:lang w:val="en-US"/>
        </w:rPr>
        <w:tab/>
      </w:r>
      <w:r w:rsidRPr="000F0BEF">
        <w:rPr>
          <w:lang w:val="en-US"/>
        </w:rPr>
        <w:t>Public Comments on SP 800-38D (2023)</w:t>
      </w:r>
      <w:r w:rsidR="005B09C2">
        <w:rPr>
          <w:lang w:val="en-US"/>
        </w:rPr>
        <w:t xml:space="preserve"> </w:t>
      </w:r>
      <w:r w:rsidRPr="000F0BEF">
        <w:rPr>
          <w:lang w:val="en-US"/>
        </w:rPr>
        <w:t>https://csrc.nist.gov/csrc/media/Projects/crypto-publication-review-project/documents/decision-proposal-comments/sp800-38d-decision-proposal-comments-2023.pdf</w:t>
      </w:r>
    </w:p>
    <w:p w14:paraId="01F925D0" w14:textId="52397492" w:rsidR="000F0BEF" w:rsidRPr="000F0BEF" w:rsidRDefault="000F0BEF" w:rsidP="000F0BEF">
      <w:pPr>
        <w:pStyle w:val="Reference"/>
        <w:rPr>
          <w:lang w:val="en-US"/>
        </w:rPr>
      </w:pPr>
      <w:r w:rsidRPr="000F0BEF">
        <w:rPr>
          <w:lang w:val="en-US"/>
        </w:rPr>
        <w:t xml:space="preserve">[8] </w:t>
      </w:r>
      <w:r w:rsidR="00F805FD">
        <w:rPr>
          <w:lang w:val="en-US"/>
        </w:rPr>
        <w:tab/>
      </w:r>
      <w:r w:rsidRPr="000F0BEF">
        <w:rPr>
          <w:lang w:val="en-US"/>
        </w:rPr>
        <w:t>Public Comments on SP 800-38D (2025)</w:t>
      </w:r>
      <w:r w:rsidR="005B09C2">
        <w:rPr>
          <w:lang w:val="en-US"/>
        </w:rPr>
        <w:t xml:space="preserve"> </w:t>
      </w:r>
      <w:r w:rsidRPr="000F0BEF">
        <w:rPr>
          <w:lang w:val="en-US"/>
        </w:rPr>
        <w:t>https://csrc.nist.gov/files/pubs/sp/800/38/d/r1/upd/iprd/docs/sp800-38d-pre-draft-public-comments.pdf</w:t>
      </w:r>
    </w:p>
    <w:p w14:paraId="135834B5" w14:textId="5D17166F" w:rsidR="000F0BEF" w:rsidRPr="000F0BEF" w:rsidRDefault="000F0BEF" w:rsidP="000F0BEF">
      <w:pPr>
        <w:pStyle w:val="Reference"/>
        <w:rPr>
          <w:lang w:val="en-US"/>
        </w:rPr>
      </w:pPr>
      <w:r w:rsidRPr="000F0BEF">
        <w:rPr>
          <w:lang w:val="en-US"/>
        </w:rPr>
        <w:t xml:space="preserve">[9] </w:t>
      </w:r>
      <w:r w:rsidR="00F805FD">
        <w:rPr>
          <w:lang w:val="en-US"/>
        </w:rPr>
        <w:tab/>
      </w:r>
      <w:r w:rsidRPr="000F0BEF">
        <w:rPr>
          <w:lang w:val="en-US"/>
        </w:rPr>
        <w:t>NIST Proposes to Revise SP 800-38B, “CMAC” and SP 800-38C, “CCM” https://csrc.nist.gov/News/2025/proposal-to-revise-sp-800-38b-and-sp-800-38c</w:t>
      </w:r>
    </w:p>
    <w:p w14:paraId="192877F3" w14:textId="7030733A" w:rsidR="000F0BEF" w:rsidRPr="000F0BEF" w:rsidRDefault="000F0BEF" w:rsidP="000F0BEF">
      <w:pPr>
        <w:pStyle w:val="Reference"/>
        <w:rPr>
          <w:lang w:val="en-US"/>
        </w:rPr>
      </w:pPr>
      <w:r w:rsidRPr="000F0BEF">
        <w:rPr>
          <w:lang w:val="en-US"/>
        </w:rPr>
        <w:t xml:space="preserve">[10] </w:t>
      </w:r>
      <w:r w:rsidR="00F805FD">
        <w:rPr>
          <w:lang w:val="en-US"/>
        </w:rPr>
        <w:tab/>
      </w:r>
      <w:r w:rsidRPr="000F0BEF">
        <w:rPr>
          <w:lang w:val="en-US"/>
        </w:rPr>
        <w:t>Announcement of Proposal to Revise SP 800-38D</w:t>
      </w:r>
      <w:r w:rsidR="005B09C2">
        <w:rPr>
          <w:lang w:val="en-US"/>
        </w:rPr>
        <w:t xml:space="preserve"> </w:t>
      </w:r>
      <w:r w:rsidRPr="000F0BEF">
        <w:rPr>
          <w:lang w:val="en-US"/>
        </w:rPr>
        <w:t>https://csrc.nist.gov/news/2023/proposal-to-revise-sp-800-38d</w:t>
      </w:r>
    </w:p>
    <w:p w14:paraId="6871FA26" w14:textId="703F1FFD" w:rsidR="000F0BEF" w:rsidRPr="000F0BEF" w:rsidRDefault="000F0BEF" w:rsidP="000F0BEF">
      <w:pPr>
        <w:pStyle w:val="Reference"/>
        <w:rPr>
          <w:lang w:val="en-US"/>
        </w:rPr>
      </w:pPr>
      <w:r w:rsidRPr="000F0BEF">
        <w:rPr>
          <w:lang w:val="en-US"/>
        </w:rPr>
        <w:t xml:space="preserve">[11] </w:t>
      </w:r>
      <w:r w:rsidR="00F805FD">
        <w:rPr>
          <w:lang w:val="en-US"/>
        </w:rPr>
        <w:tab/>
      </w:r>
      <w:r w:rsidRPr="000F0BEF">
        <w:rPr>
          <w:lang w:val="en-US"/>
        </w:rPr>
        <w:t>On the Security of CTR + CBC-MAC</w:t>
      </w:r>
      <w:r w:rsidR="005B09C2">
        <w:rPr>
          <w:lang w:val="en-US"/>
        </w:rPr>
        <w:t xml:space="preserve"> </w:t>
      </w:r>
      <w:r w:rsidRPr="000F0BEF">
        <w:rPr>
          <w:lang w:val="en-US"/>
        </w:rPr>
        <w:t>https://link.springer.com/chapter/10.1007/3-540-36492-7_7</w:t>
      </w:r>
    </w:p>
    <w:p w14:paraId="1FD60524" w14:textId="005A1A03" w:rsidR="000F0BEF" w:rsidRPr="000F0BEF" w:rsidRDefault="000F0BEF" w:rsidP="000F0BEF">
      <w:pPr>
        <w:pStyle w:val="Reference"/>
        <w:rPr>
          <w:lang w:val="en-US"/>
        </w:rPr>
      </w:pPr>
      <w:r w:rsidRPr="000F0BEF">
        <w:rPr>
          <w:lang w:val="en-US"/>
        </w:rPr>
        <w:t xml:space="preserve">[12] </w:t>
      </w:r>
      <w:r w:rsidR="00F805FD">
        <w:rPr>
          <w:lang w:val="en-US"/>
        </w:rPr>
        <w:tab/>
      </w:r>
      <w:r w:rsidRPr="000F0BEF">
        <w:rPr>
          <w:lang w:val="en-US"/>
        </w:rPr>
        <w:t>Breaking and Repairing GCM Security Proofs</w:t>
      </w:r>
      <w:r w:rsidR="005B09C2">
        <w:rPr>
          <w:lang w:val="en-US"/>
        </w:rPr>
        <w:t xml:space="preserve"> </w:t>
      </w:r>
      <w:r w:rsidRPr="000F0BEF">
        <w:rPr>
          <w:lang w:val="en-US"/>
        </w:rPr>
        <w:t>https://link.springer.com/chapter/10.1007/3-540-36492-7_7</w:t>
      </w:r>
    </w:p>
    <w:p w14:paraId="4D3E38E0" w14:textId="7241F4F4" w:rsidR="000F0BEF" w:rsidRPr="000F0BEF" w:rsidRDefault="000F0BEF" w:rsidP="000F0BEF">
      <w:pPr>
        <w:pStyle w:val="Reference"/>
        <w:rPr>
          <w:lang w:val="en-US"/>
        </w:rPr>
      </w:pPr>
      <w:r w:rsidRPr="000F0BEF">
        <w:rPr>
          <w:lang w:val="en-US"/>
        </w:rPr>
        <w:t xml:space="preserve">[13] </w:t>
      </w:r>
      <w:r w:rsidR="00F805FD">
        <w:rPr>
          <w:lang w:val="en-US"/>
        </w:rPr>
        <w:tab/>
      </w:r>
      <w:r w:rsidRPr="000F0BEF">
        <w:rPr>
          <w:lang w:val="en-US"/>
        </w:rPr>
        <w:t>Multiple forgery attacks against Message Authentication Codes</w:t>
      </w:r>
      <w:r w:rsidR="005B09C2">
        <w:rPr>
          <w:lang w:val="en-US"/>
        </w:rPr>
        <w:t xml:space="preserve"> </w:t>
      </w:r>
      <w:r w:rsidRPr="000F0BEF">
        <w:rPr>
          <w:lang w:val="en-US"/>
        </w:rPr>
        <w:t>https://csrc.nist.gov/csrc/media/projects/block-cipher-techniques/documents/bcm/comments/cwc-gcm/multi-forge-01.pdf</w:t>
      </w:r>
    </w:p>
    <w:p w14:paraId="7E1EBBF4" w14:textId="5F68B17F" w:rsidR="000F0BEF" w:rsidRPr="00DA10D8" w:rsidRDefault="000F0BEF" w:rsidP="000F0BEF">
      <w:pPr>
        <w:pStyle w:val="Reference"/>
      </w:pPr>
      <w:r w:rsidRPr="000F0BEF">
        <w:rPr>
          <w:lang w:val="en-US"/>
        </w:rPr>
        <w:t xml:space="preserve">[14] </w:t>
      </w:r>
      <w:r w:rsidR="00F805FD">
        <w:rPr>
          <w:lang w:val="en-US"/>
        </w:rPr>
        <w:tab/>
      </w:r>
      <w:r w:rsidRPr="000F0BEF">
        <w:rPr>
          <w:lang w:val="en-US"/>
        </w:rPr>
        <w:t xml:space="preserve">C3-250055 Media Related Information Format </w:t>
      </w:r>
      <w:proofErr w:type="gramStart"/>
      <w:r w:rsidRPr="000F0BEF">
        <w:rPr>
          <w:lang w:val="en-US"/>
        </w:rPr>
        <w:t xml:space="preserve">Details </w:t>
      </w:r>
      <w:r w:rsidR="005B09C2">
        <w:rPr>
          <w:lang w:val="en-US"/>
        </w:rPr>
        <w:t xml:space="preserve"> </w:t>
      </w:r>
      <w:r w:rsidRPr="000F0BEF">
        <w:rPr>
          <w:lang w:val="en-US"/>
        </w:rPr>
        <w:t>https://</w:t>
      </w:r>
      <w:r w:rsidRPr="00DA10D8">
        <w:t>www.3gpp.org/ftp/tsg_ct/WG3_interworking_ex-CN3/TSGC3_139_Athens/Docs/C3-250055.zip</w:t>
      </w:r>
      <w:proofErr w:type="gramEnd"/>
    </w:p>
    <w:p w14:paraId="53B31DD3" w14:textId="3DD75B18" w:rsidR="000F0BEF" w:rsidRPr="00DA10D8" w:rsidRDefault="000F0BEF" w:rsidP="000F0BEF">
      <w:pPr>
        <w:pStyle w:val="Reference"/>
      </w:pPr>
      <w:r w:rsidRPr="00DA10D8">
        <w:t xml:space="preserve">[15] </w:t>
      </w:r>
      <w:r w:rsidR="00F805FD" w:rsidRPr="00DA10D8">
        <w:tab/>
      </w:r>
      <w:r w:rsidRPr="00DA10D8">
        <w:t>C3-250108 Media Related inform</w:t>
      </w:r>
      <w:r w:rsidR="005B09C2">
        <w:t xml:space="preserve"> </w:t>
      </w:r>
      <w:r w:rsidRPr="00DA10D8">
        <w:t>https://www.3gpp.org/ftp/tsg_ct/WG3_interworking_ex-CN3/TSGC3_139_Athens/Docs/C3-250108.zip</w:t>
      </w:r>
    </w:p>
    <w:p w14:paraId="7FFE86C0" w14:textId="1866D2EA" w:rsidR="000F0BEF" w:rsidRPr="000F0BEF" w:rsidRDefault="000F0BEF" w:rsidP="000F0BEF">
      <w:pPr>
        <w:pStyle w:val="Reference"/>
        <w:rPr>
          <w:lang w:val="en-US"/>
        </w:rPr>
      </w:pPr>
      <w:r w:rsidRPr="000F0BEF">
        <w:rPr>
          <w:lang w:val="en-US"/>
        </w:rPr>
        <w:t xml:space="preserve">[16] </w:t>
      </w:r>
      <w:r w:rsidR="00F805FD">
        <w:rPr>
          <w:lang w:val="en-US"/>
        </w:rPr>
        <w:tab/>
      </w:r>
      <w:r w:rsidRPr="000F0BEF">
        <w:rPr>
          <w:lang w:val="en-US"/>
        </w:rPr>
        <w:t>Hidden Stream Ciphers and TMTO Attacks on TLS 1.3, DTLS 1.3, QUIC, and Signal</w:t>
      </w:r>
    </w:p>
    <w:p w14:paraId="279493CC" w14:textId="6D884636" w:rsidR="00C022E3" w:rsidRDefault="00C022E3" w:rsidP="001D4CDF">
      <w:pPr>
        <w:pStyle w:val="Reference"/>
      </w:pPr>
      <w:r w:rsidRPr="001D4CDF">
        <w:t>[1</w:t>
      </w:r>
      <w:r w:rsidR="00DA10D8">
        <w:t>7</w:t>
      </w:r>
      <w:r w:rsidRPr="001D4CDF">
        <w:t>]</w:t>
      </w:r>
      <w:r w:rsidRPr="001D4CDF">
        <w:tab/>
      </w:r>
      <w:r w:rsidR="00AF407B">
        <w:t>S3-25</w:t>
      </w:r>
      <w:r w:rsidR="006A4D04">
        <w:t>2181</w:t>
      </w:r>
    </w:p>
    <w:p w14:paraId="09B5A918" w14:textId="77777777" w:rsidR="00436448" w:rsidRPr="001D4CDF" w:rsidRDefault="00436448" w:rsidP="001D4CDF">
      <w:pPr>
        <w:pStyle w:val="Reference"/>
        <w:rPr>
          <w:lang w:val="fr-FR"/>
        </w:rPr>
      </w:pPr>
    </w:p>
    <w:p w14:paraId="09F6AE76" w14:textId="77777777" w:rsidR="00C022E3" w:rsidRDefault="00C022E3">
      <w:pPr>
        <w:pStyle w:val="Heading1"/>
      </w:pPr>
      <w:r>
        <w:t>3</w:t>
      </w:r>
      <w:r>
        <w:tab/>
        <w:t>Rationale</w:t>
      </w:r>
    </w:p>
    <w:p w14:paraId="4806A2AC" w14:textId="6699950B" w:rsidR="00460B67" w:rsidRDefault="00460B67" w:rsidP="00460B67">
      <w:pPr>
        <w:pStyle w:val="Heading2"/>
      </w:pPr>
      <w:r>
        <w:t>3.1</w:t>
      </w:r>
      <w:r>
        <w:tab/>
        <w:t>Background</w:t>
      </w:r>
    </w:p>
    <w:p w14:paraId="035C1817" w14:textId="02FB8CF7" w:rsidR="00460B67" w:rsidRPr="00232E7E" w:rsidRDefault="00460B67" w:rsidP="00460B67">
      <w:r w:rsidRPr="00232E7E">
        <w:t xml:space="preserve">AES-CCM and AES-GCM are both authenticated encryption with associated data (AEAD) modes standardized by NIST in SP 800-38C [1] and SP 800-38D [2], respectively. </w:t>
      </w:r>
      <w:r w:rsidRPr="00232E7E">
        <w:rPr>
          <w:lang w:val="en-US"/>
        </w:rPr>
        <w:t>Due to CCM’s and CMAC’s limited performance and the known weaknesses of GCM, ETSI SAGE specified the use of GCM-SST [3] for NIA4/5/5 and NCA4/5/6.</w:t>
      </w:r>
      <w:r w:rsidRPr="00232E7E">
        <w:t xml:space="preserve"> A comprehensive analysis of CCM and GCM has been conducted by Rogaway [4], and NIST has also received substantial additional analysis through public comments [5–8] during the review of SP 800-38C and SP 800-38D. In response to the public comments, NIST decided [9–10] to deprecate support for GCM authentication tags shorter than 96 bits and to align the minimum tag length recommendations across CMAC and CCM, mandating at least 32 bits, with a general recommendation of 64 bits or more.</w:t>
      </w:r>
    </w:p>
    <w:p w14:paraId="7F14D2BD" w14:textId="077D4E67" w:rsidR="00460B67" w:rsidRPr="00232E7E" w:rsidRDefault="00460B67" w:rsidP="00460B67">
      <w:r w:rsidRPr="00232E7E">
        <w:t>AES-CCM, AES-GCM, and AES-GCM-SST offer comparable levels of confidentiality given by the birthday bound. Reuse of a nonce under either scheme completely compromise the confidentiality of all plaintexts encrypted with that nonce.</w:t>
      </w:r>
    </w:p>
    <w:p w14:paraId="6F32C271" w14:textId="77777777" w:rsidR="00460B67" w:rsidRDefault="00460B67" w:rsidP="00460B67">
      <w:pPr>
        <w:rPr>
          <w:rFonts w:eastAsiaTheme="minorEastAsia"/>
          <w:lang w:val="en-US"/>
        </w:rPr>
      </w:pPr>
      <w:r w:rsidRPr="00232E7E">
        <w:t xml:space="preserve">The integrity guarantees of AES-CCM, AES-GCM, and AES-GCM-SST differ significantly and depend on tag length, nonce length, and the method of nonce construction. AES-CCM provides integrity properties </w:t>
      </w:r>
      <w:r w:rsidRPr="00232E7E">
        <w:rPr>
          <w:lang w:val="en-US"/>
        </w:rPr>
        <w:t>closely aligned with those of AES-CMAC. In 5G, 128-NIA2, used for protecting both control and user plane data, employs CMAC with 32-bit tags. Assuming the use of</w:t>
      </w:r>
      <w:r w:rsidRPr="003501C3">
        <w:rPr>
          <w:lang w:val="en-US"/>
        </w:rPr>
        <w:t xml:space="preserve"> deterministic 96-bit nonces and replay protection, the integrity advantage of CCM [11] is </w:t>
      </w:r>
      <m:oMath>
        <m:r>
          <w:rPr>
            <w:rFonts w:ascii="Cambria Math" w:hAnsi="Cambria Math"/>
            <w:lang w:val="en-US"/>
          </w:rPr>
          <m:t>≈v/</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t</m:t>
            </m:r>
          </m:sup>
        </m:sSup>
        <m:r>
          <w:rPr>
            <w:rFonts w:ascii="Cambria Math" w:hAnsi="Cambria Math"/>
            <w:lang w:val="en-US"/>
          </w:rPr>
          <m:t>+</m:t>
        </m:r>
        <m:sSup>
          <m:sSupPr>
            <m:ctrlPr>
              <w:rPr>
                <w:rFonts w:ascii="Cambria Math" w:hAnsi="Cambria Math"/>
                <w:i/>
                <w:lang w:val="en-US"/>
              </w:rPr>
            </m:ctrlPr>
          </m:sSupPr>
          <m:e>
            <m:r>
              <m:rPr>
                <m:scr m:val="script"/>
              </m:rPr>
              <w:rPr>
                <w:rFonts w:ascii="Cambria Math" w:hAnsi="Cambria Math"/>
                <w:lang w:val="en-US"/>
              </w:rPr>
              <m:t>l</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v+q</m:t>
                </m:r>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124</m:t>
            </m:r>
          </m:sup>
        </m:sSup>
      </m:oMath>
      <w:r w:rsidRPr="003501C3">
        <w:rPr>
          <w:rFonts w:eastAsiaTheme="minorEastAsia"/>
          <w:lang w:val="en-US"/>
        </w:rPr>
        <w:t xml:space="preserve">, the integrity advantage of GCM [12] is </w:t>
      </w:r>
      <m:oMath>
        <m:r>
          <w:rPr>
            <w:rFonts w:ascii="Cambria Math" w:hAnsi="Cambria Math"/>
            <w:lang w:val="en-US"/>
          </w:rPr>
          <m:t>≈δ</m:t>
        </m:r>
        <m:r>
          <m:rPr>
            <m:scr m:val="script"/>
          </m:rPr>
          <w:rPr>
            <w:rFonts w:ascii="Cambria Math" w:hAnsi="Cambria Math"/>
            <w:lang w:val="en-US"/>
          </w:rPr>
          <m:t>l</m:t>
        </m:r>
        <m:r>
          <w:rPr>
            <w:rFonts w:ascii="Cambria Math" w:hAnsi="Cambria Math"/>
            <w:lang w:val="en-US"/>
          </w:rPr>
          <m:t>v/</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t</m:t>
            </m:r>
          </m:sup>
        </m:sSup>
      </m:oMath>
      <w:r w:rsidRPr="003501C3">
        <w:rPr>
          <w:rFonts w:eastAsiaTheme="minorEastAsia"/>
          <w:lang w:val="en-US"/>
        </w:rPr>
        <w:t>, and the</w:t>
      </w:r>
      <w:r w:rsidRPr="003501C3">
        <w:rPr>
          <w:lang w:val="en-US"/>
        </w:rPr>
        <w:t xml:space="preserve"> integrity advantage of GCM-SST [10] is </w:t>
      </w:r>
      <m:oMath>
        <m:r>
          <w:rPr>
            <w:rFonts w:ascii="Cambria Math" w:hAnsi="Cambria Math"/>
            <w:lang w:val="en-US"/>
          </w:rPr>
          <m:t>v/</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t</m:t>
            </m:r>
          </m:sup>
        </m:sSup>
        <m:r>
          <w:rPr>
            <w:rFonts w:ascii="Cambria Math" w:hAnsi="Cambria Math"/>
            <w:lang w:val="en-US"/>
          </w:rPr>
          <m:t>,</m:t>
        </m:r>
      </m:oMath>
      <w:r w:rsidRPr="003501C3">
        <w:rPr>
          <w:rFonts w:eastAsiaTheme="minorEastAsia"/>
          <w:lang w:val="en-US"/>
        </w:rPr>
        <w:t xml:space="preserve"> where </w:t>
      </w:r>
      <m:oMath>
        <m:r>
          <w:rPr>
            <w:rFonts w:ascii="Cambria Math" w:hAnsi="Cambria Math"/>
            <w:lang w:val="en-US"/>
          </w:rPr>
          <m:t>q</m:t>
        </m:r>
      </m:oMath>
      <w:r w:rsidRPr="003501C3">
        <w:rPr>
          <w:rFonts w:eastAsiaTheme="minorEastAsia"/>
          <w:lang w:val="en-US"/>
        </w:rPr>
        <w:t xml:space="preserve"> is the number of encryption queries, </w:t>
      </w:r>
      <m:oMath>
        <m:r>
          <w:rPr>
            <w:rFonts w:ascii="Cambria Math" w:hAnsi="Cambria Math"/>
            <w:lang w:val="en-US"/>
          </w:rPr>
          <m:t>v</m:t>
        </m:r>
      </m:oMath>
      <w:r w:rsidRPr="003501C3">
        <w:rPr>
          <w:rFonts w:eastAsiaTheme="minorEastAsia"/>
          <w:lang w:val="en-US"/>
        </w:rPr>
        <w:t xml:space="preserve"> is the number of decryption queries, </w:t>
      </w:r>
      <m:oMath>
        <m:r>
          <m:rPr>
            <m:scr m:val="script"/>
          </m:rPr>
          <w:rPr>
            <w:rFonts w:ascii="Cambria Math" w:hAnsi="Cambria Math"/>
            <w:lang w:val="en-US"/>
          </w:rPr>
          <m:t>l</m:t>
        </m:r>
      </m:oMath>
      <w:r w:rsidRPr="003501C3">
        <w:rPr>
          <w:rFonts w:eastAsiaTheme="minorEastAsia"/>
          <w:lang w:val="en-US"/>
        </w:rPr>
        <w:t xml:space="preserve"> is the maximum length of the plaintext in blocks, </w:t>
      </w:r>
      <m:oMath>
        <m:r>
          <w:rPr>
            <w:rFonts w:ascii="Cambria Math" w:hAnsi="Cambria Math"/>
            <w:lang w:val="en-US"/>
          </w:rPr>
          <m:t>t</m:t>
        </m:r>
      </m:oMath>
      <w:r w:rsidRPr="003501C3">
        <w:rPr>
          <w:rFonts w:eastAsiaTheme="minorEastAsia"/>
          <w:lang w:val="en-US"/>
        </w:rPr>
        <w:t xml:space="preserve"> is the tag length, and </w:t>
      </w:r>
      <m:oMath>
        <m:r>
          <w:rPr>
            <w:rFonts w:ascii="Cambria Math" w:hAnsi="Cambria Math"/>
            <w:lang w:val="en-US"/>
          </w:rPr>
          <m:t>δ≈</m:t>
        </m:r>
        <m:r>
          <w:rPr>
            <w:rFonts w:ascii="Cambria Math" w:eastAsiaTheme="minorEastAsia" w:hAnsi="Cambria Math"/>
            <w:lang w:val="en-US"/>
          </w:rPr>
          <m:t>1+</m:t>
        </m:r>
        <m:sSup>
          <m:sSupPr>
            <m:ctrlPr>
              <w:rPr>
                <w:rFonts w:ascii="Cambria Math" w:hAnsi="Cambria Math"/>
                <w:i/>
                <w:lang w:val="en-US"/>
              </w:rPr>
            </m:ctrlPr>
          </m:sSupPr>
          <m:e>
            <m:r>
              <m:rPr>
                <m:scr m:val="script"/>
              </m:rPr>
              <w:rPr>
                <w:rFonts w:ascii="Cambria Math" w:hAnsi="Cambria Math"/>
                <w:lang w:val="en-US"/>
              </w:rPr>
              <m:t>l</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v+q</m:t>
                </m:r>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129</m:t>
            </m:r>
          </m:sup>
        </m:sSup>
      </m:oMath>
      <w:r w:rsidRPr="003501C3">
        <w:rPr>
          <w:rFonts w:eastAsiaTheme="minorEastAsia"/>
          <w:lang w:val="en-US"/>
        </w:rPr>
        <w:t xml:space="preserve"> is the Bernstein bound factor.</w:t>
      </w:r>
    </w:p>
    <w:p w14:paraId="6A4E6DE9" w14:textId="249A171B" w:rsidR="00460B67" w:rsidRPr="003501C3" w:rsidRDefault="00872A76" w:rsidP="00460B67">
      <w:pPr>
        <w:rPr>
          <w:lang w:val="en-US"/>
        </w:rPr>
      </w:pPr>
      <w:r>
        <w:rPr>
          <w:lang w:val="en-US"/>
        </w:rPr>
        <w:t>However, i</w:t>
      </w:r>
      <w:r w:rsidR="00460B67" w:rsidRPr="003501C3">
        <w:rPr>
          <w:lang w:val="en-US"/>
        </w:rPr>
        <w:t>ntegrity advantage does not</w:t>
      </w:r>
      <w:r>
        <w:rPr>
          <w:lang w:val="en-US"/>
        </w:rPr>
        <w:t>,</w:t>
      </w:r>
      <w:r w:rsidR="00460B67" w:rsidRPr="003501C3">
        <w:rPr>
          <w:lang w:val="en-US"/>
        </w:rPr>
        <w:t xml:space="preserve"> at all</w:t>
      </w:r>
      <w:r>
        <w:rPr>
          <w:lang w:val="en-US"/>
        </w:rPr>
        <w:t>,</w:t>
      </w:r>
      <w:r w:rsidR="00460B67" w:rsidRPr="003501C3">
        <w:rPr>
          <w:lang w:val="en-US"/>
        </w:rPr>
        <w:t xml:space="preserve"> give a good overview of the integrity as it does not incorporate the essential property</w:t>
      </w:r>
      <w:r w:rsidR="00AC5741">
        <w:rPr>
          <w:lang w:val="en-US"/>
        </w:rPr>
        <w:t>, i.e.</w:t>
      </w:r>
      <w:r w:rsidR="00460B67" w:rsidRPr="003501C3">
        <w:rPr>
          <w:lang w:val="en-US"/>
        </w:rPr>
        <w:t xml:space="preserve"> </w:t>
      </w:r>
      <w:proofErr w:type="spellStart"/>
      <w:r w:rsidR="00460B67" w:rsidRPr="003501C3">
        <w:rPr>
          <w:lang w:val="en-US"/>
        </w:rPr>
        <w:t>reforg</w:t>
      </w:r>
      <w:r w:rsidR="006B4886">
        <w:rPr>
          <w:lang w:val="en-US"/>
        </w:rPr>
        <w:t>e</w:t>
      </w:r>
      <w:r w:rsidR="00460B67" w:rsidRPr="003501C3">
        <w:rPr>
          <w:lang w:val="en-US"/>
        </w:rPr>
        <w:t>ability</w:t>
      </w:r>
      <w:proofErr w:type="spellEnd"/>
      <w:r w:rsidR="00460B67" w:rsidRPr="003501C3">
        <w:rPr>
          <w:lang w:val="en-US"/>
        </w:rPr>
        <w:t xml:space="preserve"> resistance. GCM with all tag lengths and CCM with 128-bit tags does not offer any </w:t>
      </w:r>
      <w:proofErr w:type="spellStart"/>
      <w:r w:rsidR="00460B67" w:rsidRPr="003501C3">
        <w:rPr>
          <w:lang w:val="en-US"/>
        </w:rPr>
        <w:t>reforgeability</w:t>
      </w:r>
      <w:proofErr w:type="spellEnd"/>
      <w:r w:rsidR="00460B67" w:rsidRPr="003501C3">
        <w:rPr>
          <w:lang w:val="en-US"/>
        </w:rPr>
        <w:t xml:space="preserve"> [13]</w:t>
      </w:r>
      <w:r w:rsidR="00460B67">
        <w:rPr>
          <w:lang w:val="en-US"/>
        </w:rPr>
        <w:t>, as a</w:t>
      </w:r>
      <w:r w:rsidR="00460B67" w:rsidRPr="003501C3">
        <w:rPr>
          <w:lang w:val="en-US"/>
        </w:rPr>
        <w:t xml:space="preserve">fter a single successful forgery, an attacker can trivially produce forgeries with probability </w:t>
      </w:r>
      <w:r w:rsidR="00460B67">
        <w:rPr>
          <w:lang w:val="en-US"/>
        </w:rPr>
        <w:t>one</w:t>
      </w:r>
      <w:r w:rsidR="00460B67" w:rsidRPr="003501C3">
        <w:rPr>
          <w:lang w:val="en-US"/>
        </w:rPr>
        <w:t xml:space="preserve">. </w:t>
      </w:r>
      <w:r w:rsidR="00460B67">
        <w:rPr>
          <w:lang w:val="en-US"/>
        </w:rPr>
        <w:t xml:space="preserve">GCM also has the weakness that </w:t>
      </w:r>
      <w:r w:rsidR="00460B67">
        <w:t>r</w:t>
      </w:r>
      <w:r w:rsidR="00460B67" w:rsidRPr="005F6444">
        <w:t xml:space="preserve">euse of a nonce </w:t>
      </w:r>
      <w:r w:rsidR="00460B67">
        <w:t>compromise the authentication key, which is reused for many invocations.</w:t>
      </w:r>
      <w:r w:rsidR="00460B67">
        <w:rPr>
          <w:lang w:val="en-US"/>
        </w:rPr>
        <w:t xml:space="preserve"> In security protocols with replay protection, </w:t>
      </w:r>
      <w:r w:rsidR="00460B67" w:rsidRPr="003501C3">
        <w:rPr>
          <w:lang w:val="en-US"/>
        </w:rPr>
        <w:t xml:space="preserve">GCM-SST and CMAC/CCM with short tags do offer </w:t>
      </w:r>
      <w:proofErr w:type="spellStart"/>
      <w:r w:rsidR="00460B67" w:rsidRPr="003501C3">
        <w:rPr>
          <w:lang w:val="en-US"/>
        </w:rPr>
        <w:t>reforgeability</w:t>
      </w:r>
      <w:proofErr w:type="spellEnd"/>
      <w:r w:rsidR="00460B67">
        <w:rPr>
          <w:lang w:val="en-US"/>
        </w:rPr>
        <w:t xml:space="preserve"> </w:t>
      </w:r>
      <w:r w:rsidR="00460B67" w:rsidRPr="003501C3">
        <w:rPr>
          <w:lang w:val="en-US"/>
        </w:rPr>
        <w:t xml:space="preserve">and behaves like ideal MACs as long as </w:t>
      </w:r>
      <m:oMath>
        <m:r>
          <m:rPr>
            <m:scr m:val="script"/>
          </m:rPr>
          <w:rPr>
            <w:rFonts w:ascii="Cambria Math" w:hAnsi="Cambria Math"/>
            <w:lang w:val="en-US"/>
          </w:rPr>
          <m:t>l</m:t>
        </m:r>
      </m:oMath>
      <w:r w:rsidR="00460B67" w:rsidRPr="003501C3">
        <w:rPr>
          <w:lang w:val="en-US"/>
        </w:rPr>
        <w:t xml:space="preserve">, </w:t>
      </w:r>
      <m:oMath>
        <m:r>
          <w:rPr>
            <w:rFonts w:ascii="Cambria Math" w:hAnsi="Cambria Math"/>
            <w:lang w:val="en-US"/>
          </w:rPr>
          <m:t>v</m:t>
        </m:r>
      </m:oMath>
      <w:r w:rsidR="00460B67" w:rsidRPr="003501C3">
        <w:rPr>
          <w:lang w:val="en-US"/>
        </w:rPr>
        <w:t xml:space="preserve">, and </w:t>
      </w:r>
      <m:oMath>
        <m:r>
          <w:rPr>
            <w:rFonts w:ascii="Cambria Math" w:hAnsi="Cambria Math"/>
            <w:lang w:val="en-US"/>
          </w:rPr>
          <m:t>q</m:t>
        </m:r>
      </m:oMath>
      <w:r w:rsidR="00460B67" w:rsidRPr="003501C3">
        <w:rPr>
          <w:lang w:val="en-US"/>
        </w:rPr>
        <w:t xml:space="preserve"> are constrained.</w:t>
      </w:r>
    </w:p>
    <w:p w14:paraId="46922DB5" w14:textId="7CFC4F38" w:rsidR="00460B67" w:rsidRDefault="00460B67" w:rsidP="00460B67">
      <w:pPr>
        <w:pStyle w:val="Heading2"/>
      </w:pPr>
      <w:r>
        <w:t>3.2</w:t>
      </w:r>
      <w:r>
        <w:tab/>
        <w:t>Analysis of AEADs for the XRM metadata protocol</w:t>
      </w:r>
    </w:p>
    <w:p w14:paraId="4D195459" w14:textId="73000821" w:rsidR="00460B67" w:rsidRDefault="00460B67" w:rsidP="00460B67">
      <w:pPr>
        <w:rPr>
          <w:lang w:val="en-US"/>
        </w:rPr>
      </w:pPr>
      <w:r>
        <w:rPr>
          <w:lang w:val="en-US"/>
        </w:rPr>
        <w:t xml:space="preserve">The XRM metadata protocol specified by 3GPP is a new security protocol with deterministic nonces, replay protection, and very small plaintexts [14-15]. One suggestion limits the maximum plaintext to 16 bytes [14]. It can therefore be assumed that </w:t>
      </w:r>
      <m:oMath>
        <m:r>
          <m:rPr>
            <m:scr m:val="script"/>
          </m:rPr>
          <w:rPr>
            <w:rFonts w:ascii="Cambria Math" w:hAnsi="Cambria Math"/>
            <w:lang w:val="en-US"/>
          </w:rPr>
          <m:t>l≈</m:t>
        </m:r>
        <m:r>
          <w:rPr>
            <w:rFonts w:ascii="Cambria Math" w:hAnsi="Cambria Math"/>
            <w:lang w:val="en-US"/>
          </w:rPr>
          <m:t>1</m:t>
        </m:r>
      </m:oMath>
      <w:r>
        <w:rPr>
          <w:lang w:val="en-US"/>
        </w:rPr>
        <w:t>. The small plaintexts mean that even a short tag lead</w:t>
      </w:r>
      <w:r w:rsidR="00294478">
        <w:rPr>
          <w:lang w:val="en-US"/>
        </w:rPr>
        <w:t>s</w:t>
      </w:r>
      <w:r>
        <w:rPr>
          <w:lang w:val="en-US"/>
        </w:rPr>
        <w:t xml:space="preserve"> to significant overhead with even 64-bit tag leading to at least 50% expansion. It has been suggested to constrain the number of encryption queries to </w:t>
      </w:r>
      <m:oMath>
        <m:r>
          <w:rPr>
            <w:rFonts w:ascii="Cambria Math" w:eastAsiaTheme="minorEastAsia" w:hAnsi="Cambria Math"/>
            <w:lang w:val="en-US"/>
          </w:rPr>
          <m:t>q</m:t>
        </m:r>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24</m:t>
            </m:r>
          </m:sup>
        </m:sSup>
      </m:oMath>
      <w:r>
        <w:rPr>
          <w:lang w:val="en-US"/>
        </w:rPr>
        <w:t xml:space="preserve">. The number of decryption queries </w:t>
      </w:r>
      <m:oMath>
        <m:r>
          <w:rPr>
            <w:rFonts w:ascii="Cambria Math" w:hAnsi="Cambria Math"/>
            <w:lang w:val="en-US"/>
          </w:rPr>
          <m:t>v</m:t>
        </m:r>
      </m:oMath>
      <w:r>
        <w:rPr>
          <w:lang w:val="en-US"/>
        </w:rPr>
        <w:t xml:space="preserve"> should similarly be constrained. Our assumption is that the AEAD performance is not important for the XRM metadata use case.</w:t>
      </w:r>
    </w:p>
    <w:p w14:paraId="41722D11" w14:textId="7750A985" w:rsidR="00460B67" w:rsidRDefault="00460B67" w:rsidP="00460B67">
      <w:pPr>
        <w:rPr>
          <w:lang w:val="en-US"/>
        </w:rPr>
      </w:pPr>
      <w:r>
        <w:rPr>
          <w:lang w:val="en-US"/>
        </w:rPr>
        <w:t>A real-world attacker is unlikely to target a single key, instead being equally happy to compromise any key used by a specific user or any key used by a group of users. When analyzing the security of 3G, 4G, and 5G, an important conclusion was that a single forgery of control plane traffic has limited impact, the same is likely true for XRM metadata. Forgery of many subsequent messages would however allow the attacker to completely control the metadata for the session and should be avoided. I</w:t>
      </w:r>
      <w:r w:rsidRPr="003501C3">
        <w:rPr>
          <w:lang w:val="en-US"/>
        </w:rPr>
        <w:t>ntegrity advantage</w:t>
      </w:r>
      <w:r>
        <w:rPr>
          <w:lang w:val="en-US"/>
        </w:rPr>
        <w:t>, which measures the probability that an attacker can perform at least one forgery is often a bad measure of practical security. While GCM with 16 bytes tags has higher security</w:t>
      </w:r>
      <w:r w:rsidDel="0039129B">
        <w:rPr>
          <w:lang w:val="en-US"/>
        </w:rPr>
        <w:t xml:space="preserve"> </w:t>
      </w:r>
      <w:r w:rsidR="0039129B">
        <w:rPr>
          <w:lang w:val="en-US"/>
        </w:rPr>
        <w:t>than</w:t>
      </w:r>
      <w:r>
        <w:rPr>
          <w:lang w:val="en-US"/>
        </w:rPr>
        <w:t xml:space="preserve"> CCM with 8-byte tags against this attack, it has similar number of expected forgeries as CCM with 8-byte tags when used with the constraints in QUIC. Against an attacker trying to make 3 forgeries in a row, GCM with 16-byte tags offers </w:t>
      </w:r>
      <w:r w:rsidR="004E0F1B">
        <w:rPr>
          <w:lang w:val="en-US"/>
        </w:rPr>
        <w:t xml:space="preserve">the same security as </w:t>
      </w:r>
      <w:r>
        <w:rPr>
          <w:lang w:val="en-US"/>
        </w:rPr>
        <w:t>CCM with 8-byte tags</w:t>
      </w:r>
      <w:r w:rsidR="004E0F1B">
        <w:rPr>
          <w:lang w:val="en-US"/>
        </w:rPr>
        <w:t xml:space="preserve"> and much worse security than GCM-SST with </w:t>
      </w:r>
      <w:r w:rsidR="00AA1416">
        <w:rPr>
          <w:lang w:val="en-US"/>
        </w:rPr>
        <w:t>8-byte tags</w:t>
      </w:r>
      <w:r>
        <w:rPr>
          <w:lang w:val="en-US"/>
        </w:rPr>
        <w:t>.</w:t>
      </w:r>
    </w:p>
    <w:p w14:paraId="792F138E" w14:textId="77777777" w:rsidR="00460B67" w:rsidRPr="00460B67" w:rsidRDefault="00460B67" w:rsidP="00460B67">
      <w:pPr>
        <w:rPr>
          <w:rStyle w:val="Strong"/>
          <w:b w:val="0"/>
          <w:bCs w:val="0"/>
        </w:rPr>
      </w:pPr>
      <w:r w:rsidRPr="00460B67">
        <w:rPr>
          <w:rStyle w:val="Strong"/>
          <w:b w:val="0"/>
          <w:bCs w:val="0"/>
        </w:rPr>
        <w:t>The external interface in the UPF used for transporting XRM metadata is expected to be very high, maybe 100 Gbps. CCM with 64-bit tags offers 2</w:t>
      </w:r>
      <w:r w:rsidRPr="00AA1416">
        <w:rPr>
          <w:rStyle w:val="Strong"/>
          <w:b w:val="0"/>
          <w:bCs w:val="0"/>
          <w:vertAlign w:val="superscript"/>
        </w:rPr>
        <w:t>32</w:t>
      </w:r>
      <w:r w:rsidRPr="00460B67">
        <w:rPr>
          <w:rStyle w:val="Strong"/>
          <w:b w:val="0"/>
          <w:bCs w:val="0"/>
        </w:rPr>
        <w:t xml:space="preserve"> or 4.3 billion times lower forgery probability than 128-NIA2. As CCM with 64-bit tags behave like an ideal MAC, an attacker needs to send on average of 2</w:t>
      </w:r>
      <w:r w:rsidRPr="003C4400">
        <w:rPr>
          <w:rStyle w:val="Strong"/>
          <w:b w:val="0"/>
          <w:bCs w:val="0"/>
          <w:vertAlign w:val="superscript"/>
        </w:rPr>
        <w:t>64</w:t>
      </w:r>
      <w:r w:rsidRPr="00460B67">
        <w:rPr>
          <w:rStyle w:val="Strong"/>
          <w:b w:val="0"/>
          <w:bCs w:val="0"/>
        </w:rPr>
        <w:t xml:space="preserve"> forgery attempts for each successful forgery and a successful forgery does not make it easier to perform future forgeries. Our view is that a single forgery of metadata is unlikely to be a big practical concern and that if an attacker performs 2</w:t>
      </w:r>
      <w:r w:rsidRPr="007A2619">
        <w:rPr>
          <w:rStyle w:val="Strong"/>
          <w:b w:val="0"/>
          <w:bCs w:val="0"/>
          <w:vertAlign w:val="superscript"/>
        </w:rPr>
        <w:t>64</w:t>
      </w:r>
      <w:r w:rsidRPr="00460B67">
        <w:rPr>
          <w:rStyle w:val="Strong"/>
          <w:b w:val="0"/>
          <w:bCs w:val="0"/>
        </w:rPr>
        <w:t xml:space="preserve"> forgery attempts against the UPF, DDoS is a larger problem than the risk of a single forgery. Given the lack of reforgeability resistance, it is questionable if GCM with 16-byte tags offer better security against practically relevant attacks that typically require multiple forgeries. </w:t>
      </w:r>
    </w:p>
    <w:p w14:paraId="1E45EE3D" w14:textId="77777777" w:rsidR="00460B67" w:rsidRPr="00460B67" w:rsidRDefault="00460B67" w:rsidP="00460B67">
      <w:pPr>
        <w:rPr>
          <w:rStyle w:val="Strong"/>
          <w:b w:val="0"/>
          <w:bCs w:val="0"/>
        </w:rPr>
      </w:pPr>
      <w:r w:rsidRPr="00460B67">
        <w:rPr>
          <w:rStyle w:val="Strong"/>
          <w:b w:val="0"/>
          <w:bCs w:val="0"/>
        </w:rPr>
        <w:t>Our view is that a CCM with 8-byte tags and GCM with 16-byte tags both offer acceptable security for XRM metadata and that CCM with 8-byte tags is preferred due to the lower overhead. Due to the lack of reforgeability resistance, GCM with 96-bit tags does not seem like a good alternative. If stronger security than an ideal 64-bit MAC is needed, GCM-SST with 72–112-bit tags could be an option.</w:t>
      </w:r>
    </w:p>
    <w:p w14:paraId="2B762B88" w14:textId="6909F438" w:rsidR="00460B67" w:rsidRPr="00460B67" w:rsidRDefault="00460B67" w:rsidP="00460B67">
      <w:pPr>
        <w:rPr>
          <w:rStyle w:val="Strong"/>
          <w:b w:val="0"/>
          <w:bCs w:val="0"/>
        </w:rPr>
      </w:pPr>
      <w:r w:rsidRPr="00460B67">
        <w:rPr>
          <w:rStyle w:val="Strong"/>
          <w:b w:val="0"/>
          <w:bCs w:val="0"/>
        </w:rPr>
        <w:t>Note that the XRM metadata protocol is a new protocol and not directly related to QUIC. Note also that</w:t>
      </w:r>
      <w:r w:rsidR="00E65F05">
        <w:rPr>
          <w:rStyle w:val="Strong"/>
          <w:b w:val="0"/>
          <w:bCs w:val="0"/>
        </w:rPr>
        <w:t xml:space="preserve"> in our view</w:t>
      </w:r>
      <w:r w:rsidRPr="00460B67">
        <w:rPr>
          <w:rStyle w:val="Strong"/>
          <w:b w:val="0"/>
          <w:bCs w:val="0"/>
        </w:rPr>
        <w:t xml:space="preserve"> the process in Appendix B of RFC 9001 is </w:t>
      </w:r>
      <w:r w:rsidR="00685089">
        <w:rPr>
          <w:rStyle w:val="Strong"/>
          <w:b w:val="0"/>
          <w:bCs w:val="0"/>
        </w:rPr>
        <w:t>substantially</w:t>
      </w:r>
      <w:r w:rsidR="00A63BE1">
        <w:rPr>
          <w:rStyle w:val="Strong"/>
          <w:b w:val="0"/>
          <w:bCs w:val="0"/>
        </w:rPr>
        <w:t xml:space="preserve"> flawed</w:t>
      </w:r>
      <w:r w:rsidRPr="00460B67">
        <w:rPr>
          <w:rStyle w:val="Strong"/>
          <w:b w:val="0"/>
          <w:bCs w:val="0"/>
        </w:rPr>
        <w:t>. The only peer reviewed analysis of the procedure [16] suggest that the Appendix should be removed in future versions of the QUIC specification.</w:t>
      </w:r>
    </w:p>
    <w:p w14:paraId="6F70B96D" w14:textId="77777777" w:rsidR="00460B67" w:rsidRPr="003501C3" w:rsidRDefault="00460B67" w:rsidP="00460B67">
      <w:pPr>
        <w:jc w:val="both"/>
        <w:rPr>
          <w:rFonts w:eastAsiaTheme="minorEastAsia"/>
          <w:lang w:val="en-US"/>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345"/>
        <w:gridCol w:w="1823"/>
        <w:gridCol w:w="1823"/>
        <w:gridCol w:w="1823"/>
        <w:gridCol w:w="1823"/>
      </w:tblGrid>
      <w:tr w:rsidR="00460B67" w:rsidRPr="00DC0DDE" w14:paraId="4065C4BF" w14:textId="77777777" w:rsidTr="00CA6188">
        <w:trPr>
          <w:trHeight w:val="419"/>
          <w:tblHeader/>
          <w:tblCellSpacing w:w="15" w:type="dxa"/>
          <w:jc w:val="center"/>
        </w:trPr>
        <w:tc>
          <w:tcPr>
            <w:tcW w:w="1300" w:type="dxa"/>
            <w:tcBorders>
              <w:bottom w:val="single" w:sz="8" w:space="0" w:color="auto"/>
            </w:tcBorders>
            <w:vAlign w:val="center"/>
            <w:hideMark/>
          </w:tcPr>
          <w:p w14:paraId="52866D34" w14:textId="77777777" w:rsidR="00460B67" w:rsidRPr="00DC0DDE" w:rsidRDefault="00460B67" w:rsidP="00CA6188">
            <w:pPr>
              <w:jc w:val="both"/>
              <w:rPr>
                <w:rFonts w:eastAsiaTheme="majorEastAsia" w:cstheme="majorBidi"/>
                <w:b/>
                <w:bCs/>
                <w:kern w:val="28"/>
                <w:sz w:val="18"/>
                <w:szCs w:val="18"/>
                <w:lang w:val="en-US"/>
              </w:rPr>
            </w:pPr>
            <w:r w:rsidRPr="00DC0DDE">
              <w:rPr>
                <w:rFonts w:eastAsiaTheme="majorEastAsia" w:cstheme="majorBidi"/>
                <w:b/>
                <w:bCs/>
                <w:kern w:val="28"/>
                <w:sz w:val="18"/>
                <w:szCs w:val="18"/>
                <w:lang w:val="en-US"/>
              </w:rPr>
              <w:t>Name</w:t>
            </w:r>
          </w:p>
        </w:tc>
        <w:tc>
          <w:tcPr>
            <w:tcW w:w="1793" w:type="dxa"/>
            <w:tcBorders>
              <w:bottom w:val="single" w:sz="8" w:space="0" w:color="auto"/>
            </w:tcBorders>
            <w:vAlign w:val="center"/>
            <w:hideMark/>
          </w:tcPr>
          <w:p w14:paraId="0A183F3B" w14:textId="77777777" w:rsidR="00460B67" w:rsidRPr="00DC0DDE" w:rsidRDefault="00460B67" w:rsidP="00CA6188">
            <w:pPr>
              <w:jc w:val="right"/>
              <w:rPr>
                <w:rFonts w:eastAsiaTheme="majorEastAsia" w:cstheme="majorBidi"/>
                <w:b/>
                <w:bCs/>
                <w:kern w:val="28"/>
                <w:sz w:val="18"/>
                <w:szCs w:val="18"/>
                <w:lang w:val="en-US"/>
              </w:rPr>
            </w:pPr>
            <w:r w:rsidRPr="00DC0DDE">
              <w:rPr>
                <w:rFonts w:eastAsiaTheme="majorEastAsia" w:cstheme="majorBidi"/>
                <w:b/>
                <w:bCs/>
                <w:kern w:val="28"/>
                <w:sz w:val="18"/>
                <w:szCs w:val="18"/>
                <w:lang w:val="en-US"/>
              </w:rPr>
              <w:t>Tag length (bytes)</w:t>
            </w:r>
          </w:p>
        </w:tc>
        <w:tc>
          <w:tcPr>
            <w:tcW w:w="1793" w:type="dxa"/>
            <w:tcBorders>
              <w:bottom w:val="single" w:sz="8" w:space="0" w:color="auto"/>
            </w:tcBorders>
            <w:vAlign w:val="center"/>
            <w:hideMark/>
          </w:tcPr>
          <w:p w14:paraId="5F3E7E04" w14:textId="77777777" w:rsidR="00460B67" w:rsidRPr="00DC0DDE" w:rsidRDefault="00460B67" w:rsidP="00CA6188">
            <w:pPr>
              <w:jc w:val="right"/>
              <w:rPr>
                <w:rFonts w:eastAsiaTheme="majorEastAsia" w:cstheme="majorBidi"/>
                <w:b/>
                <w:bCs/>
                <w:kern w:val="28"/>
                <w:sz w:val="18"/>
                <w:szCs w:val="18"/>
                <w:lang w:val="en-US"/>
              </w:rPr>
            </w:pPr>
            <w:r w:rsidRPr="00DC0DDE">
              <w:rPr>
                <w:rFonts w:eastAsiaTheme="majorEastAsia" w:cstheme="majorBidi"/>
                <w:b/>
                <w:bCs/>
                <w:kern w:val="28"/>
                <w:sz w:val="18"/>
                <w:szCs w:val="18"/>
                <w:lang w:val="en-US"/>
              </w:rPr>
              <w:t>Forgery probability before first forgery</w:t>
            </w:r>
          </w:p>
        </w:tc>
        <w:tc>
          <w:tcPr>
            <w:tcW w:w="1793" w:type="dxa"/>
            <w:tcBorders>
              <w:bottom w:val="single" w:sz="8" w:space="0" w:color="auto"/>
            </w:tcBorders>
            <w:vAlign w:val="center"/>
            <w:hideMark/>
          </w:tcPr>
          <w:p w14:paraId="7B755982" w14:textId="77777777" w:rsidR="00460B67" w:rsidRPr="00DC0DDE" w:rsidRDefault="00460B67" w:rsidP="00CA6188">
            <w:pPr>
              <w:jc w:val="right"/>
              <w:rPr>
                <w:rFonts w:eastAsiaTheme="majorEastAsia" w:cstheme="majorBidi"/>
                <w:b/>
                <w:bCs/>
                <w:kern w:val="28"/>
                <w:sz w:val="18"/>
                <w:szCs w:val="18"/>
                <w:lang w:val="en-US"/>
              </w:rPr>
            </w:pPr>
            <w:r w:rsidRPr="00DC0DDE">
              <w:rPr>
                <w:rFonts w:eastAsiaTheme="majorEastAsia" w:cstheme="majorBidi"/>
                <w:b/>
                <w:bCs/>
                <w:kern w:val="28"/>
                <w:sz w:val="18"/>
                <w:szCs w:val="18"/>
                <w:lang w:val="en-US"/>
              </w:rPr>
              <w:t>Forgery probability after first forgery</w:t>
            </w:r>
          </w:p>
        </w:tc>
        <w:tc>
          <w:tcPr>
            <w:tcW w:w="1778" w:type="dxa"/>
            <w:tcBorders>
              <w:bottom w:val="single" w:sz="8" w:space="0" w:color="auto"/>
            </w:tcBorders>
            <w:vAlign w:val="center"/>
            <w:hideMark/>
          </w:tcPr>
          <w:p w14:paraId="5FF7CC4E" w14:textId="77777777" w:rsidR="00460B67" w:rsidRPr="00DC0DDE" w:rsidRDefault="00460B67" w:rsidP="00CA6188">
            <w:pPr>
              <w:jc w:val="right"/>
              <w:rPr>
                <w:rFonts w:eastAsiaTheme="majorEastAsia" w:cstheme="majorBidi"/>
                <w:b/>
                <w:bCs/>
                <w:kern w:val="28"/>
                <w:sz w:val="18"/>
                <w:szCs w:val="18"/>
                <w:lang w:val="en-US"/>
              </w:rPr>
            </w:pPr>
            <w:r w:rsidRPr="00DC0DDE">
              <w:rPr>
                <w:rFonts w:eastAsiaTheme="majorEastAsia" w:cstheme="majorBidi"/>
                <w:b/>
                <w:bCs/>
                <w:kern w:val="28"/>
                <w:sz w:val="18"/>
                <w:szCs w:val="18"/>
                <w:lang w:val="en-US"/>
              </w:rPr>
              <w:t>Expected number of forgeries</w:t>
            </w:r>
          </w:p>
        </w:tc>
      </w:tr>
      <w:tr w:rsidR="00460B67" w:rsidRPr="00DC0DDE" w14:paraId="673811A8" w14:textId="77777777" w:rsidTr="00CA6188">
        <w:trPr>
          <w:trHeight w:val="419"/>
          <w:tblCellSpacing w:w="15" w:type="dxa"/>
          <w:jc w:val="center"/>
        </w:trPr>
        <w:tc>
          <w:tcPr>
            <w:tcW w:w="1300" w:type="dxa"/>
            <w:vAlign w:val="center"/>
            <w:hideMark/>
          </w:tcPr>
          <w:p w14:paraId="1B39A942" w14:textId="77777777" w:rsidR="00460B67" w:rsidRPr="00DC0DDE" w:rsidRDefault="00460B67" w:rsidP="00CA6188">
            <w:pPr>
              <w:jc w:val="both"/>
              <w:rPr>
                <w:rFonts w:eastAsiaTheme="majorEastAsia" w:cstheme="majorBidi"/>
                <w:kern w:val="28"/>
                <w:sz w:val="18"/>
                <w:szCs w:val="18"/>
                <w:lang w:val="en-US"/>
              </w:rPr>
            </w:pPr>
            <w:r w:rsidRPr="00DC0DDE">
              <w:rPr>
                <w:rFonts w:eastAsiaTheme="majorEastAsia" w:cstheme="majorBidi"/>
                <w:kern w:val="28"/>
                <w:sz w:val="18"/>
                <w:szCs w:val="18"/>
                <w:lang w:val="en-US"/>
              </w:rPr>
              <w:t>CCM</w:t>
            </w:r>
          </w:p>
        </w:tc>
        <w:tc>
          <w:tcPr>
            <w:tcW w:w="1793" w:type="dxa"/>
            <w:vAlign w:val="center"/>
            <w:hideMark/>
          </w:tcPr>
          <w:p w14:paraId="0E1F029A"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8</w:t>
            </w:r>
          </w:p>
        </w:tc>
        <w:tc>
          <w:tcPr>
            <w:tcW w:w="1793" w:type="dxa"/>
            <w:vAlign w:val="center"/>
            <w:hideMark/>
          </w:tcPr>
          <w:p w14:paraId="56B37535"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1 / 2</w:t>
            </w:r>
            <w:r w:rsidRPr="00DC0DDE">
              <w:rPr>
                <w:rFonts w:eastAsiaTheme="majorEastAsia" w:cstheme="majorBidi"/>
                <w:kern w:val="28"/>
                <w:sz w:val="18"/>
                <w:szCs w:val="18"/>
                <w:vertAlign w:val="superscript"/>
                <w:lang w:val="en-US"/>
              </w:rPr>
              <w:t>64</w:t>
            </w:r>
            <w:r w:rsidRPr="00DC0DDE">
              <w:rPr>
                <w:rFonts w:eastAsiaTheme="majorEastAsia" w:cstheme="majorBidi"/>
                <w:kern w:val="28"/>
                <w:sz w:val="18"/>
                <w:szCs w:val="18"/>
                <w:lang w:val="en-US"/>
              </w:rPr>
              <w:t xml:space="preserve"> </w:t>
            </w:r>
          </w:p>
        </w:tc>
        <w:tc>
          <w:tcPr>
            <w:tcW w:w="1793" w:type="dxa"/>
            <w:vAlign w:val="center"/>
            <w:hideMark/>
          </w:tcPr>
          <w:p w14:paraId="3DA452FD"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1 / 2</w:t>
            </w:r>
            <w:r w:rsidRPr="00DC0DDE">
              <w:rPr>
                <w:rFonts w:eastAsiaTheme="majorEastAsia" w:cstheme="majorBidi"/>
                <w:kern w:val="28"/>
                <w:sz w:val="18"/>
                <w:szCs w:val="18"/>
                <w:vertAlign w:val="superscript"/>
                <w:lang w:val="en-US"/>
              </w:rPr>
              <w:t>64</w:t>
            </w:r>
            <w:r w:rsidRPr="00DC0DDE">
              <w:rPr>
                <w:rFonts w:eastAsiaTheme="majorEastAsia" w:cstheme="majorBidi"/>
                <w:kern w:val="28"/>
                <w:sz w:val="18"/>
                <w:szCs w:val="18"/>
                <w:lang w:val="en-US"/>
              </w:rPr>
              <w:t xml:space="preserve"> </w:t>
            </w:r>
          </w:p>
        </w:tc>
        <w:tc>
          <w:tcPr>
            <w:tcW w:w="1778" w:type="dxa"/>
            <w:vAlign w:val="center"/>
            <w:hideMark/>
          </w:tcPr>
          <w:p w14:paraId="64107A7E" w14:textId="77777777" w:rsidR="00460B67" w:rsidRPr="00DC0DDE" w:rsidRDefault="00460B67" w:rsidP="00CA6188">
            <w:pPr>
              <w:jc w:val="right"/>
              <w:rPr>
                <w:rFonts w:eastAsiaTheme="majorEastAsia" w:cstheme="majorBidi"/>
                <w:kern w:val="28"/>
                <w:sz w:val="18"/>
                <w:szCs w:val="18"/>
                <w:lang w:val="en-US"/>
              </w:rPr>
            </w:pPr>
            <m:oMath>
              <m:r>
                <w:rPr>
                  <w:rFonts w:ascii="Cambria Math" w:eastAsiaTheme="majorEastAsia" w:hAnsi="Cambria Math" w:cstheme="majorBidi"/>
                  <w:kern w:val="28"/>
                  <w:sz w:val="18"/>
                  <w:szCs w:val="18"/>
                  <w:lang w:val="en-US"/>
                </w:rPr>
                <m:t>v</m:t>
              </m:r>
            </m:oMath>
            <w:r w:rsidRPr="00DC0DDE">
              <w:rPr>
                <w:rFonts w:eastAsiaTheme="majorEastAsia" w:cstheme="majorBidi"/>
                <w:kern w:val="28"/>
                <w:sz w:val="18"/>
                <w:szCs w:val="18"/>
                <w:lang w:val="en-US"/>
              </w:rPr>
              <w:t xml:space="preserve"> / 2</w:t>
            </w:r>
            <w:r w:rsidRPr="00DC0DDE">
              <w:rPr>
                <w:rFonts w:eastAsiaTheme="majorEastAsia" w:cstheme="majorBidi"/>
                <w:kern w:val="28"/>
                <w:sz w:val="18"/>
                <w:szCs w:val="18"/>
                <w:vertAlign w:val="superscript"/>
                <w:lang w:val="en-US"/>
              </w:rPr>
              <w:t>64</w:t>
            </w:r>
            <w:r w:rsidRPr="00DC0DDE">
              <w:rPr>
                <w:rFonts w:eastAsiaTheme="majorEastAsia" w:cstheme="majorBidi"/>
                <w:kern w:val="28"/>
                <w:sz w:val="18"/>
                <w:szCs w:val="18"/>
                <w:lang w:val="en-US"/>
              </w:rPr>
              <w:t xml:space="preserve"> </w:t>
            </w:r>
          </w:p>
        </w:tc>
      </w:tr>
      <w:tr w:rsidR="00460B67" w:rsidRPr="00DC0DDE" w14:paraId="739F84DC" w14:textId="77777777" w:rsidTr="00CA6188">
        <w:trPr>
          <w:trHeight w:val="419"/>
          <w:tblCellSpacing w:w="15" w:type="dxa"/>
          <w:jc w:val="center"/>
        </w:trPr>
        <w:tc>
          <w:tcPr>
            <w:tcW w:w="1300" w:type="dxa"/>
            <w:vAlign w:val="center"/>
          </w:tcPr>
          <w:p w14:paraId="6D0A4AB9" w14:textId="77777777" w:rsidR="00460B67" w:rsidRPr="00DC0DDE" w:rsidRDefault="00460B67" w:rsidP="00CA6188">
            <w:pPr>
              <w:jc w:val="both"/>
              <w:rPr>
                <w:rFonts w:eastAsiaTheme="majorEastAsia" w:cstheme="majorBidi"/>
                <w:kern w:val="28"/>
                <w:sz w:val="18"/>
                <w:szCs w:val="18"/>
                <w:lang w:val="en-US"/>
              </w:rPr>
            </w:pPr>
            <w:r w:rsidRPr="00DC0DDE">
              <w:rPr>
                <w:rFonts w:eastAsiaTheme="majorEastAsia" w:cstheme="majorBidi"/>
                <w:kern w:val="28"/>
                <w:sz w:val="18"/>
                <w:szCs w:val="18"/>
                <w:lang w:val="en-US"/>
              </w:rPr>
              <w:t>GCM-SST</w:t>
            </w:r>
          </w:p>
        </w:tc>
        <w:tc>
          <w:tcPr>
            <w:tcW w:w="1793" w:type="dxa"/>
            <w:vAlign w:val="center"/>
          </w:tcPr>
          <w:p w14:paraId="3EE17C3D"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8</w:t>
            </w:r>
          </w:p>
        </w:tc>
        <w:tc>
          <w:tcPr>
            <w:tcW w:w="1793" w:type="dxa"/>
            <w:vAlign w:val="center"/>
          </w:tcPr>
          <w:p w14:paraId="6B6812B0"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1 / 2</w:t>
            </w:r>
            <w:r w:rsidRPr="00DC0DDE">
              <w:rPr>
                <w:rFonts w:eastAsiaTheme="majorEastAsia" w:cstheme="majorBidi"/>
                <w:kern w:val="28"/>
                <w:sz w:val="18"/>
                <w:szCs w:val="18"/>
                <w:vertAlign w:val="superscript"/>
                <w:lang w:val="en-US"/>
              </w:rPr>
              <w:t>64</w:t>
            </w:r>
            <w:r w:rsidRPr="00DC0DDE">
              <w:rPr>
                <w:rFonts w:eastAsiaTheme="majorEastAsia" w:cstheme="majorBidi"/>
                <w:kern w:val="28"/>
                <w:sz w:val="18"/>
                <w:szCs w:val="18"/>
                <w:lang w:val="en-US"/>
              </w:rPr>
              <w:t xml:space="preserve"> </w:t>
            </w:r>
          </w:p>
        </w:tc>
        <w:tc>
          <w:tcPr>
            <w:tcW w:w="1793" w:type="dxa"/>
            <w:vAlign w:val="center"/>
          </w:tcPr>
          <w:p w14:paraId="12A1E4AC"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1 / 2</w:t>
            </w:r>
            <w:r w:rsidRPr="00DC0DDE">
              <w:rPr>
                <w:rFonts w:eastAsiaTheme="majorEastAsia" w:cstheme="majorBidi"/>
                <w:kern w:val="28"/>
                <w:sz w:val="18"/>
                <w:szCs w:val="18"/>
                <w:vertAlign w:val="superscript"/>
                <w:lang w:val="en-US"/>
              </w:rPr>
              <w:t>64</w:t>
            </w:r>
            <w:r w:rsidRPr="00DC0DDE">
              <w:rPr>
                <w:rFonts w:eastAsiaTheme="majorEastAsia" w:cstheme="majorBidi"/>
                <w:kern w:val="28"/>
                <w:sz w:val="18"/>
                <w:szCs w:val="18"/>
                <w:lang w:val="en-US"/>
              </w:rPr>
              <w:t xml:space="preserve"> </w:t>
            </w:r>
          </w:p>
        </w:tc>
        <w:tc>
          <w:tcPr>
            <w:tcW w:w="1778" w:type="dxa"/>
            <w:vAlign w:val="center"/>
          </w:tcPr>
          <w:p w14:paraId="67CE6257" w14:textId="77777777" w:rsidR="00460B67" w:rsidRPr="00DC0DDE" w:rsidRDefault="00460B67" w:rsidP="00CA6188">
            <w:pPr>
              <w:jc w:val="right"/>
              <w:rPr>
                <w:rFonts w:ascii="Aptos" w:eastAsia="Times New Roman" w:hAnsi="Aptos"/>
                <w:kern w:val="28"/>
                <w:sz w:val="18"/>
                <w:szCs w:val="18"/>
                <w:lang w:val="en-US"/>
              </w:rPr>
            </w:pPr>
            <m:oMath>
              <m:r>
                <w:rPr>
                  <w:rFonts w:ascii="Cambria Math" w:eastAsiaTheme="majorEastAsia" w:hAnsi="Cambria Math" w:cstheme="majorBidi"/>
                  <w:kern w:val="28"/>
                  <w:sz w:val="18"/>
                  <w:szCs w:val="18"/>
                  <w:lang w:val="en-US"/>
                </w:rPr>
                <m:t>v</m:t>
              </m:r>
            </m:oMath>
            <w:r w:rsidRPr="00DC0DDE">
              <w:rPr>
                <w:rFonts w:eastAsiaTheme="majorEastAsia" w:cstheme="majorBidi"/>
                <w:kern w:val="28"/>
                <w:sz w:val="18"/>
                <w:szCs w:val="18"/>
                <w:lang w:val="en-US"/>
              </w:rPr>
              <w:t xml:space="preserve"> / 2</w:t>
            </w:r>
            <w:r w:rsidRPr="00DC0DDE">
              <w:rPr>
                <w:rFonts w:eastAsiaTheme="majorEastAsia" w:cstheme="majorBidi"/>
                <w:kern w:val="28"/>
                <w:sz w:val="18"/>
                <w:szCs w:val="18"/>
                <w:vertAlign w:val="superscript"/>
                <w:lang w:val="en-US"/>
              </w:rPr>
              <w:t>64</w:t>
            </w:r>
            <w:r w:rsidRPr="00DC0DDE">
              <w:rPr>
                <w:rFonts w:eastAsiaTheme="majorEastAsia" w:cstheme="majorBidi"/>
                <w:kern w:val="28"/>
                <w:sz w:val="18"/>
                <w:szCs w:val="18"/>
                <w:lang w:val="en-US"/>
              </w:rPr>
              <w:t xml:space="preserve"> </w:t>
            </w:r>
          </w:p>
        </w:tc>
      </w:tr>
      <w:tr w:rsidR="00460B67" w:rsidRPr="00DC0DDE" w14:paraId="30340F0A" w14:textId="77777777" w:rsidTr="00CA6188">
        <w:trPr>
          <w:trHeight w:val="419"/>
          <w:tblCellSpacing w:w="15" w:type="dxa"/>
          <w:jc w:val="center"/>
        </w:trPr>
        <w:tc>
          <w:tcPr>
            <w:tcW w:w="1300" w:type="dxa"/>
            <w:vAlign w:val="center"/>
          </w:tcPr>
          <w:p w14:paraId="49B8E348" w14:textId="77777777" w:rsidR="00460B67" w:rsidRPr="00DC0DDE" w:rsidRDefault="00460B67" w:rsidP="00CA6188">
            <w:pPr>
              <w:jc w:val="both"/>
              <w:rPr>
                <w:rFonts w:eastAsiaTheme="majorEastAsia" w:cstheme="majorBidi"/>
                <w:kern w:val="28"/>
                <w:sz w:val="18"/>
                <w:szCs w:val="18"/>
                <w:lang w:val="en-US"/>
              </w:rPr>
            </w:pPr>
            <w:r w:rsidRPr="00DC0DDE">
              <w:rPr>
                <w:rFonts w:eastAsiaTheme="majorEastAsia" w:cstheme="majorBidi"/>
                <w:kern w:val="28"/>
                <w:sz w:val="18"/>
                <w:szCs w:val="18"/>
                <w:lang w:val="en-US"/>
              </w:rPr>
              <w:t>GCM-SST</w:t>
            </w:r>
          </w:p>
        </w:tc>
        <w:tc>
          <w:tcPr>
            <w:tcW w:w="1793" w:type="dxa"/>
            <w:vAlign w:val="center"/>
          </w:tcPr>
          <w:p w14:paraId="54F428A2" w14:textId="77777777" w:rsidR="00460B67" w:rsidRPr="00DC0DDE" w:rsidRDefault="00460B67" w:rsidP="00CA6188">
            <w:pPr>
              <w:jc w:val="right"/>
              <w:rPr>
                <w:rFonts w:eastAsiaTheme="majorEastAsia" w:cstheme="majorBidi"/>
                <w:kern w:val="28"/>
                <w:sz w:val="18"/>
                <w:szCs w:val="18"/>
                <w:lang w:val="en-US"/>
              </w:rPr>
            </w:pPr>
            <w:r>
              <w:rPr>
                <w:rFonts w:eastAsiaTheme="majorEastAsia" w:cstheme="majorBidi"/>
                <w:kern w:val="28"/>
                <w:sz w:val="18"/>
                <w:szCs w:val="18"/>
                <w:lang w:val="en-US"/>
              </w:rPr>
              <w:t>12</w:t>
            </w:r>
          </w:p>
        </w:tc>
        <w:tc>
          <w:tcPr>
            <w:tcW w:w="1793" w:type="dxa"/>
            <w:vAlign w:val="center"/>
          </w:tcPr>
          <w:p w14:paraId="35C7A2C6"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1 / 2</w:t>
            </w:r>
            <w:r>
              <w:rPr>
                <w:rFonts w:eastAsiaTheme="majorEastAsia" w:cstheme="majorBidi"/>
                <w:kern w:val="28"/>
                <w:sz w:val="18"/>
                <w:szCs w:val="18"/>
                <w:vertAlign w:val="superscript"/>
                <w:lang w:val="en-US"/>
              </w:rPr>
              <w:t>96</w:t>
            </w:r>
            <w:r w:rsidRPr="00DC0DDE">
              <w:rPr>
                <w:rFonts w:eastAsiaTheme="majorEastAsia" w:cstheme="majorBidi"/>
                <w:kern w:val="28"/>
                <w:sz w:val="18"/>
                <w:szCs w:val="18"/>
                <w:lang w:val="en-US"/>
              </w:rPr>
              <w:t xml:space="preserve"> </w:t>
            </w:r>
          </w:p>
        </w:tc>
        <w:tc>
          <w:tcPr>
            <w:tcW w:w="1793" w:type="dxa"/>
            <w:vAlign w:val="center"/>
          </w:tcPr>
          <w:p w14:paraId="46BC4A30"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1 / 2</w:t>
            </w:r>
            <w:r>
              <w:rPr>
                <w:rFonts w:eastAsiaTheme="majorEastAsia" w:cstheme="majorBidi"/>
                <w:kern w:val="28"/>
                <w:sz w:val="18"/>
                <w:szCs w:val="18"/>
                <w:vertAlign w:val="superscript"/>
                <w:lang w:val="en-US"/>
              </w:rPr>
              <w:t>96</w:t>
            </w:r>
            <w:r w:rsidRPr="00DC0DDE">
              <w:rPr>
                <w:rFonts w:eastAsiaTheme="majorEastAsia" w:cstheme="majorBidi"/>
                <w:kern w:val="28"/>
                <w:sz w:val="18"/>
                <w:szCs w:val="18"/>
                <w:lang w:val="en-US"/>
              </w:rPr>
              <w:t xml:space="preserve"> </w:t>
            </w:r>
          </w:p>
        </w:tc>
        <w:tc>
          <w:tcPr>
            <w:tcW w:w="1778" w:type="dxa"/>
            <w:vAlign w:val="center"/>
          </w:tcPr>
          <w:p w14:paraId="4076FF7C" w14:textId="77777777" w:rsidR="00460B67" w:rsidRPr="00DC0DDE" w:rsidRDefault="00460B67" w:rsidP="00CA6188">
            <w:pPr>
              <w:jc w:val="right"/>
              <w:rPr>
                <w:rFonts w:ascii="Aptos" w:eastAsia="Times New Roman" w:hAnsi="Aptos"/>
                <w:kern w:val="28"/>
                <w:sz w:val="18"/>
                <w:szCs w:val="18"/>
                <w:lang w:val="en-US"/>
              </w:rPr>
            </w:pPr>
            <m:oMath>
              <m:r>
                <w:rPr>
                  <w:rFonts w:ascii="Cambria Math" w:eastAsiaTheme="majorEastAsia" w:hAnsi="Cambria Math" w:cstheme="majorBidi"/>
                  <w:kern w:val="28"/>
                  <w:sz w:val="18"/>
                  <w:szCs w:val="18"/>
                  <w:lang w:val="en-US"/>
                </w:rPr>
                <m:t>v</m:t>
              </m:r>
            </m:oMath>
            <w:r w:rsidRPr="00DC0DDE">
              <w:rPr>
                <w:rFonts w:eastAsiaTheme="majorEastAsia" w:cstheme="majorBidi"/>
                <w:kern w:val="28"/>
                <w:sz w:val="18"/>
                <w:szCs w:val="18"/>
                <w:lang w:val="en-US"/>
              </w:rPr>
              <w:t xml:space="preserve"> / 2</w:t>
            </w:r>
            <w:r>
              <w:rPr>
                <w:rFonts w:eastAsiaTheme="majorEastAsia" w:cstheme="majorBidi"/>
                <w:kern w:val="28"/>
                <w:sz w:val="18"/>
                <w:szCs w:val="18"/>
                <w:vertAlign w:val="superscript"/>
                <w:lang w:val="en-US"/>
              </w:rPr>
              <w:t>96</w:t>
            </w:r>
            <w:r w:rsidRPr="00DC0DDE">
              <w:rPr>
                <w:rFonts w:eastAsiaTheme="majorEastAsia" w:cstheme="majorBidi"/>
                <w:kern w:val="28"/>
                <w:sz w:val="18"/>
                <w:szCs w:val="18"/>
                <w:lang w:val="en-US"/>
              </w:rPr>
              <w:t xml:space="preserve"> </w:t>
            </w:r>
          </w:p>
        </w:tc>
      </w:tr>
      <w:tr w:rsidR="00460B67" w:rsidRPr="00DC0DDE" w14:paraId="194BB18C" w14:textId="77777777" w:rsidTr="00CA6188">
        <w:trPr>
          <w:trHeight w:val="419"/>
          <w:tblCellSpacing w:w="15" w:type="dxa"/>
          <w:jc w:val="center"/>
        </w:trPr>
        <w:tc>
          <w:tcPr>
            <w:tcW w:w="1300" w:type="dxa"/>
            <w:vAlign w:val="center"/>
            <w:hideMark/>
          </w:tcPr>
          <w:p w14:paraId="5831C80D" w14:textId="77777777" w:rsidR="00460B67" w:rsidRPr="00DC0DDE" w:rsidRDefault="00460B67" w:rsidP="00CA6188">
            <w:pPr>
              <w:jc w:val="both"/>
              <w:rPr>
                <w:rFonts w:eastAsiaTheme="majorEastAsia" w:cstheme="majorBidi"/>
                <w:kern w:val="28"/>
                <w:sz w:val="18"/>
                <w:szCs w:val="18"/>
                <w:lang w:val="en-US"/>
              </w:rPr>
            </w:pPr>
            <w:r w:rsidRPr="00DC0DDE">
              <w:rPr>
                <w:rFonts w:eastAsiaTheme="majorEastAsia" w:cstheme="majorBidi"/>
                <w:kern w:val="28"/>
                <w:sz w:val="18"/>
                <w:szCs w:val="18"/>
                <w:lang w:val="en-US"/>
              </w:rPr>
              <w:t>GCM</w:t>
            </w:r>
          </w:p>
        </w:tc>
        <w:tc>
          <w:tcPr>
            <w:tcW w:w="1793" w:type="dxa"/>
            <w:vAlign w:val="center"/>
            <w:hideMark/>
          </w:tcPr>
          <w:p w14:paraId="08D47743"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1</w:t>
            </w:r>
            <w:r>
              <w:rPr>
                <w:rFonts w:eastAsiaTheme="majorEastAsia" w:cstheme="majorBidi"/>
                <w:kern w:val="28"/>
                <w:sz w:val="18"/>
                <w:szCs w:val="18"/>
                <w:lang w:val="en-US"/>
              </w:rPr>
              <w:t>2</w:t>
            </w:r>
          </w:p>
        </w:tc>
        <w:tc>
          <w:tcPr>
            <w:tcW w:w="1793" w:type="dxa"/>
            <w:vAlign w:val="center"/>
            <w:hideMark/>
          </w:tcPr>
          <w:p w14:paraId="59F00554" w14:textId="77777777" w:rsidR="00460B67" w:rsidRPr="00DC0DDE" w:rsidRDefault="00460B67" w:rsidP="00CA6188">
            <w:pPr>
              <w:jc w:val="right"/>
              <w:rPr>
                <w:rFonts w:eastAsiaTheme="majorEastAsia" w:cstheme="majorBidi"/>
                <w:kern w:val="28"/>
                <w:sz w:val="18"/>
                <w:szCs w:val="18"/>
                <w:lang w:val="en-US"/>
              </w:rPr>
            </w:pPr>
            <m:oMath>
              <m:r>
                <w:rPr>
                  <w:rFonts w:ascii="Cambria Math" w:eastAsiaTheme="majorEastAsia" w:hAnsi="Cambria Math" w:cstheme="majorBidi"/>
                  <w:kern w:val="28"/>
                  <w:sz w:val="18"/>
                  <w:szCs w:val="18"/>
                  <w:lang w:val="en-US"/>
                </w:rPr>
                <m:t>1</m:t>
              </m:r>
            </m:oMath>
            <w:r w:rsidRPr="00DC0DDE">
              <w:rPr>
                <w:rFonts w:eastAsiaTheme="majorEastAsia" w:cstheme="majorBidi"/>
                <w:kern w:val="28"/>
                <w:sz w:val="18"/>
                <w:szCs w:val="18"/>
                <w:lang w:val="en-US"/>
              </w:rPr>
              <w:t xml:space="preserve"> / 2</w:t>
            </w:r>
            <w:r>
              <w:rPr>
                <w:rFonts w:eastAsiaTheme="majorEastAsia" w:cstheme="majorBidi"/>
                <w:kern w:val="28"/>
                <w:sz w:val="18"/>
                <w:szCs w:val="18"/>
                <w:vertAlign w:val="superscript"/>
                <w:lang w:val="en-US"/>
              </w:rPr>
              <w:t>96</w:t>
            </w:r>
            <w:r w:rsidRPr="00DC0DDE">
              <w:rPr>
                <w:rFonts w:eastAsiaTheme="majorEastAsia" w:cstheme="majorBidi"/>
                <w:kern w:val="28"/>
                <w:sz w:val="18"/>
                <w:szCs w:val="18"/>
                <w:lang w:val="en-US"/>
              </w:rPr>
              <w:t xml:space="preserve"> </w:t>
            </w:r>
          </w:p>
        </w:tc>
        <w:tc>
          <w:tcPr>
            <w:tcW w:w="1793" w:type="dxa"/>
            <w:vAlign w:val="center"/>
            <w:hideMark/>
          </w:tcPr>
          <w:p w14:paraId="68094600"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1</w:t>
            </w:r>
          </w:p>
        </w:tc>
        <w:tc>
          <w:tcPr>
            <w:tcW w:w="1778" w:type="dxa"/>
            <w:vAlign w:val="center"/>
            <w:hideMark/>
          </w:tcPr>
          <w:p w14:paraId="46CF49B6" w14:textId="77777777" w:rsidR="00460B67" w:rsidRPr="00DC0DDE" w:rsidRDefault="00460B67" w:rsidP="00CA6188">
            <w:pPr>
              <w:jc w:val="right"/>
              <w:rPr>
                <w:rFonts w:eastAsiaTheme="majorEastAsia" w:cstheme="majorBidi"/>
                <w:kern w:val="28"/>
                <w:sz w:val="18"/>
                <w:szCs w:val="18"/>
                <w:lang w:val="en-US"/>
              </w:rPr>
            </w:pPr>
            <m:oMath>
              <m:r>
                <w:rPr>
                  <w:rFonts w:ascii="Cambria Math" w:eastAsiaTheme="majorEastAsia" w:hAnsi="Cambria Math" w:cstheme="majorBidi"/>
                  <w:kern w:val="28"/>
                  <w:sz w:val="18"/>
                  <w:szCs w:val="18"/>
                  <w:lang w:val="en-US"/>
                </w:rPr>
                <m:t>v</m:t>
              </m:r>
            </m:oMath>
            <w:r w:rsidRPr="00DC0DDE">
              <w:rPr>
                <w:rFonts w:eastAsiaTheme="majorEastAsia" w:cstheme="majorBidi"/>
                <w:kern w:val="28"/>
                <w:sz w:val="18"/>
                <w:szCs w:val="18"/>
                <w:vertAlign w:val="superscript"/>
                <w:lang w:val="en-US"/>
              </w:rPr>
              <w:t>2</w:t>
            </w:r>
            <w:r w:rsidRPr="00DC0DDE">
              <w:rPr>
                <w:rFonts w:eastAsiaTheme="majorEastAsia" w:cstheme="majorBidi"/>
                <w:kern w:val="28"/>
                <w:sz w:val="18"/>
                <w:szCs w:val="18"/>
                <w:lang w:val="en-US"/>
              </w:rPr>
              <w:t> / 2</w:t>
            </w:r>
            <w:r>
              <w:rPr>
                <w:rFonts w:eastAsiaTheme="majorEastAsia" w:cstheme="majorBidi"/>
                <w:kern w:val="28"/>
                <w:sz w:val="18"/>
                <w:szCs w:val="18"/>
                <w:vertAlign w:val="superscript"/>
                <w:lang w:val="en-US"/>
              </w:rPr>
              <w:t>97</w:t>
            </w:r>
          </w:p>
        </w:tc>
      </w:tr>
      <w:tr w:rsidR="00460B67" w:rsidRPr="00DC0DDE" w14:paraId="4F244E1F" w14:textId="77777777" w:rsidTr="00CA6188">
        <w:trPr>
          <w:trHeight w:val="419"/>
          <w:tblCellSpacing w:w="15" w:type="dxa"/>
          <w:jc w:val="center"/>
        </w:trPr>
        <w:tc>
          <w:tcPr>
            <w:tcW w:w="1300" w:type="dxa"/>
            <w:vAlign w:val="center"/>
            <w:hideMark/>
          </w:tcPr>
          <w:p w14:paraId="07E706F4" w14:textId="77777777" w:rsidR="00460B67" w:rsidRPr="00DC0DDE" w:rsidRDefault="00460B67" w:rsidP="00CA6188">
            <w:pPr>
              <w:jc w:val="both"/>
              <w:rPr>
                <w:rFonts w:eastAsiaTheme="majorEastAsia" w:cstheme="majorBidi"/>
                <w:kern w:val="28"/>
                <w:sz w:val="18"/>
                <w:szCs w:val="18"/>
                <w:lang w:val="en-US"/>
              </w:rPr>
            </w:pPr>
            <w:r w:rsidRPr="00DC0DDE">
              <w:rPr>
                <w:rFonts w:eastAsiaTheme="majorEastAsia" w:cstheme="majorBidi"/>
                <w:kern w:val="28"/>
                <w:sz w:val="18"/>
                <w:szCs w:val="18"/>
                <w:lang w:val="en-US"/>
              </w:rPr>
              <w:t>GCM</w:t>
            </w:r>
          </w:p>
        </w:tc>
        <w:tc>
          <w:tcPr>
            <w:tcW w:w="1793" w:type="dxa"/>
            <w:vAlign w:val="center"/>
            <w:hideMark/>
          </w:tcPr>
          <w:p w14:paraId="45026FDE"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16</w:t>
            </w:r>
          </w:p>
        </w:tc>
        <w:tc>
          <w:tcPr>
            <w:tcW w:w="1793" w:type="dxa"/>
            <w:vAlign w:val="center"/>
            <w:hideMark/>
          </w:tcPr>
          <w:p w14:paraId="098A7E74" w14:textId="77777777" w:rsidR="00460B67" w:rsidRPr="00DC0DDE" w:rsidRDefault="00460B67" w:rsidP="00CA6188">
            <w:pPr>
              <w:jc w:val="right"/>
              <w:rPr>
                <w:rFonts w:eastAsiaTheme="majorEastAsia" w:cstheme="majorBidi"/>
                <w:kern w:val="28"/>
                <w:sz w:val="18"/>
                <w:szCs w:val="18"/>
                <w:lang w:val="en-US"/>
              </w:rPr>
            </w:pPr>
            <m:oMath>
              <m:r>
                <w:rPr>
                  <w:rFonts w:ascii="Cambria Math" w:eastAsiaTheme="majorEastAsia" w:hAnsi="Cambria Math" w:cstheme="majorBidi"/>
                  <w:kern w:val="28"/>
                  <w:sz w:val="18"/>
                  <w:szCs w:val="18"/>
                  <w:lang w:val="en-US"/>
                </w:rPr>
                <m:t>1</m:t>
              </m:r>
            </m:oMath>
            <w:r w:rsidRPr="00DC0DDE">
              <w:rPr>
                <w:rFonts w:eastAsiaTheme="majorEastAsia" w:cstheme="majorBidi"/>
                <w:kern w:val="28"/>
                <w:sz w:val="18"/>
                <w:szCs w:val="18"/>
                <w:lang w:val="en-US"/>
              </w:rPr>
              <w:t xml:space="preserve"> / 2</w:t>
            </w:r>
            <w:r w:rsidRPr="00DC0DDE">
              <w:rPr>
                <w:rFonts w:eastAsiaTheme="majorEastAsia" w:cstheme="majorBidi"/>
                <w:kern w:val="28"/>
                <w:sz w:val="18"/>
                <w:szCs w:val="18"/>
                <w:vertAlign w:val="superscript"/>
                <w:lang w:val="en-US"/>
              </w:rPr>
              <w:t>1</w:t>
            </w:r>
            <w:r>
              <w:rPr>
                <w:rFonts w:eastAsiaTheme="majorEastAsia" w:cstheme="majorBidi"/>
                <w:kern w:val="28"/>
                <w:sz w:val="18"/>
                <w:szCs w:val="18"/>
                <w:vertAlign w:val="superscript"/>
                <w:lang w:val="en-US"/>
              </w:rPr>
              <w:t>28</w:t>
            </w:r>
            <w:r w:rsidRPr="00DC0DDE">
              <w:rPr>
                <w:rFonts w:eastAsiaTheme="majorEastAsia" w:cstheme="majorBidi"/>
                <w:kern w:val="28"/>
                <w:sz w:val="18"/>
                <w:szCs w:val="18"/>
                <w:lang w:val="en-US"/>
              </w:rPr>
              <w:t xml:space="preserve"> </w:t>
            </w:r>
          </w:p>
        </w:tc>
        <w:tc>
          <w:tcPr>
            <w:tcW w:w="1793" w:type="dxa"/>
            <w:vAlign w:val="center"/>
            <w:hideMark/>
          </w:tcPr>
          <w:p w14:paraId="2121E3B6" w14:textId="77777777" w:rsidR="00460B67" w:rsidRPr="00DC0DDE" w:rsidRDefault="00460B67" w:rsidP="00CA6188">
            <w:pPr>
              <w:jc w:val="right"/>
              <w:rPr>
                <w:rFonts w:eastAsiaTheme="majorEastAsia" w:cstheme="majorBidi"/>
                <w:kern w:val="28"/>
                <w:sz w:val="18"/>
                <w:szCs w:val="18"/>
                <w:lang w:val="en-US"/>
              </w:rPr>
            </w:pPr>
            <w:r w:rsidRPr="00DC0DDE">
              <w:rPr>
                <w:rFonts w:eastAsiaTheme="majorEastAsia" w:cstheme="majorBidi"/>
                <w:kern w:val="28"/>
                <w:sz w:val="18"/>
                <w:szCs w:val="18"/>
                <w:lang w:val="en-US"/>
              </w:rPr>
              <w:t>1</w:t>
            </w:r>
          </w:p>
        </w:tc>
        <w:tc>
          <w:tcPr>
            <w:tcW w:w="1778" w:type="dxa"/>
            <w:vAlign w:val="center"/>
            <w:hideMark/>
          </w:tcPr>
          <w:p w14:paraId="2C29801B" w14:textId="77777777" w:rsidR="00460B67" w:rsidRPr="00DC0DDE" w:rsidRDefault="00460B67" w:rsidP="00CA6188">
            <w:pPr>
              <w:jc w:val="right"/>
              <w:rPr>
                <w:rFonts w:eastAsiaTheme="majorEastAsia" w:cstheme="majorBidi"/>
                <w:kern w:val="28"/>
                <w:sz w:val="18"/>
                <w:szCs w:val="18"/>
                <w:lang w:val="en-US"/>
              </w:rPr>
            </w:pPr>
            <m:oMath>
              <m:r>
                <w:rPr>
                  <w:rFonts w:ascii="Cambria Math" w:eastAsiaTheme="majorEastAsia" w:hAnsi="Cambria Math" w:cstheme="majorBidi"/>
                  <w:kern w:val="28"/>
                  <w:sz w:val="18"/>
                  <w:szCs w:val="18"/>
                  <w:lang w:val="en-US"/>
                </w:rPr>
                <m:t>v</m:t>
              </m:r>
            </m:oMath>
            <w:r w:rsidRPr="00DC0DDE">
              <w:rPr>
                <w:rFonts w:eastAsiaTheme="majorEastAsia" w:cstheme="majorBidi"/>
                <w:kern w:val="28"/>
                <w:sz w:val="18"/>
                <w:szCs w:val="18"/>
                <w:vertAlign w:val="superscript"/>
                <w:lang w:val="en-US"/>
              </w:rPr>
              <w:t>2</w:t>
            </w:r>
            <w:r w:rsidRPr="00DC0DDE">
              <w:rPr>
                <w:rFonts w:eastAsiaTheme="majorEastAsia" w:cstheme="majorBidi"/>
                <w:kern w:val="28"/>
                <w:sz w:val="18"/>
                <w:szCs w:val="18"/>
                <w:lang w:val="en-US"/>
              </w:rPr>
              <w:t> / 2</w:t>
            </w:r>
            <w:r w:rsidRPr="00DC0DDE">
              <w:rPr>
                <w:rFonts w:eastAsiaTheme="majorEastAsia" w:cstheme="majorBidi"/>
                <w:kern w:val="28"/>
                <w:sz w:val="18"/>
                <w:szCs w:val="18"/>
                <w:vertAlign w:val="superscript"/>
                <w:lang w:val="en-US"/>
              </w:rPr>
              <w:t>1</w:t>
            </w:r>
            <w:r>
              <w:rPr>
                <w:rFonts w:eastAsiaTheme="majorEastAsia" w:cstheme="majorBidi"/>
                <w:kern w:val="28"/>
                <w:sz w:val="18"/>
                <w:szCs w:val="18"/>
                <w:vertAlign w:val="superscript"/>
                <w:lang w:val="en-US"/>
              </w:rPr>
              <w:t>29</w:t>
            </w:r>
          </w:p>
        </w:tc>
      </w:tr>
    </w:tbl>
    <w:p w14:paraId="3ED5CB96" w14:textId="77777777" w:rsidR="00460B67" w:rsidRDefault="00460B67" w:rsidP="00460B67">
      <w:pPr>
        <w:rPr>
          <w:rFonts w:ascii="Ericsson Hilda" w:hAnsi="Ericsson Hilda"/>
          <w:sz w:val="22"/>
          <w:szCs w:val="22"/>
          <w:lang w:val="en-US"/>
        </w:rPr>
      </w:pPr>
    </w:p>
    <w:p w14:paraId="2AF0088B" w14:textId="77777777" w:rsidR="00460B67" w:rsidRPr="000C265C" w:rsidRDefault="00460B67" w:rsidP="00460B67">
      <w:pPr>
        <w:jc w:val="center"/>
        <w:rPr>
          <w:rFonts w:eastAsiaTheme="majorEastAsia" w:cstheme="majorBidi"/>
          <w:i/>
          <w:iCs/>
          <w:kern w:val="28"/>
          <w:lang w:val="en-US"/>
        </w:rPr>
      </w:pPr>
      <w:r w:rsidRPr="00194F73">
        <w:rPr>
          <w:rFonts w:eastAsiaTheme="majorEastAsia" w:cstheme="majorBidi"/>
          <w:i/>
          <w:iCs/>
          <w:kern w:val="28"/>
          <w:lang w:val="en-US"/>
        </w:rPr>
        <w:t>Table 1: Comparison between AES-CCM, AES-GCM-SST, and AES-GCM in XRM where the maximum packet size is</w:t>
      </w:r>
      <w:r>
        <w:rPr>
          <w:rFonts w:eastAsiaTheme="majorEastAsia" w:cstheme="majorBidi"/>
          <w:i/>
          <w:iCs/>
          <w:kern w:val="28"/>
          <w:lang w:val="en-US"/>
        </w:rPr>
        <w:t xml:space="preserve"> assumed</w:t>
      </w:r>
      <w:r w:rsidRPr="00194F73">
        <w:rPr>
          <w:rFonts w:eastAsiaTheme="majorEastAsia" w:cstheme="majorBidi"/>
          <w:i/>
          <w:iCs/>
          <w:kern w:val="28"/>
          <w:lang w:val="en-US"/>
        </w:rPr>
        <w:t xml:space="preserve"> </w:t>
      </w:r>
      <w:r>
        <w:rPr>
          <w:rFonts w:eastAsiaTheme="majorEastAsia" w:cstheme="majorBidi"/>
          <w:i/>
          <w:iCs/>
          <w:kern w:val="28"/>
          <w:lang w:val="en-US"/>
        </w:rPr>
        <w:t>1</w:t>
      </w:r>
      <w:r w:rsidRPr="00194F73">
        <w:rPr>
          <w:rFonts w:eastAsiaTheme="majorEastAsia" w:cstheme="majorBidi"/>
          <w:i/>
          <w:iCs/>
          <w:kern w:val="28"/>
          <w:lang w:val="en-US"/>
        </w:rPr>
        <w:t xml:space="preserve">6 bytes. </w:t>
      </w:r>
      <m:oMath>
        <m:r>
          <w:rPr>
            <w:rFonts w:ascii="Cambria Math" w:eastAsiaTheme="majorEastAsia" w:hAnsi="Cambria Math" w:cstheme="majorBidi"/>
            <w:kern w:val="28"/>
            <w:lang w:val="en-US"/>
          </w:rPr>
          <m:t>v</m:t>
        </m:r>
      </m:oMath>
      <w:r w:rsidRPr="00194F73">
        <w:rPr>
          <w:rFonts w:eastAsiaTheme="majorEastAsia" w:cstheme="majorBidi"/>
          <w:i/>
          <w:iCs/>
          <w:kern w:val="28"/>
          <w:lang w:val="en-US"/>
        </w:rPr>
        <w:t xml:space="preserve"> is the number of decryption queries and</w:t>
      </w:r>
      <w:r>
        <w:rPr>
          <w:rFonts w:eastAsiaTheme="majorEastAsia" w:cstheme="majorBidi"/>
          <w:i/>
          <w:iCs/>
          <w:kern w:val="28"/>
          <w:lang w:val="en-US"/>
        </w:rPr>
        <w:t xml:space="preserve"> it is assumed that </w:t>
      </w:r>
      <m:oMath>
        <m:r>
          <w:rPr>
            <w:rFonts w:ascii="Cambria Math" w:eastAsiaTheme="majorEastAsia" w:hAnsi="Cambria Math" w:cstheme="majorBidi"/>
            <w:kern w:val="28"/>
            <w:lang w:val="en-US"/>
          </w:rPr>
          <m:t>v</m:t>
        </m:r>
      </m:oMath>
      <w:r w:rsidRPr="000C265C">
        <w:rPr>
          <w:rFonts w:eastAsiaTheme="majorEastAsia" w:cstheme="majorBidi"/>
          <w:i/>
          <w:iCs/>
          <w:kern w:val="28"/>
          <w:lang w:val="en-US"/>
        </w:rPr>
        <w:t xml:space="preserve">, and </w:t>
      </w:r>
      <m:oMath>
        <m:r>
          <w:rPr>
            <w:rFonts w:ascii="Cambria Math" w:eastAsiaTheme="majorEastAsia" w:hAnsi="Cambria Math" w:cstheme="majorBidi"/>
            <w:kern w:val="28"/>
            <w:lang w:val="en-US"/>
          </w:rPr>
          <m:t>q</m:t>
        </m:r>
      </m:oMath>
      <w:r w:rsidRPr="000C265C">
        <w:rPr>
          <w:rFonts w:eastAsiaTheme="majorEastAsia" w:cstheme="majorBidi"/>
          <w:i/>
          <w:iCs/>
          <w:kern w:val="28"/>
          <w:lang w:val="en-US"/>
        </w:rPr>
        <w:t xml:space="preserve"> are constrained.</w:t>
      </w:r>
    </w:p>
    <w:p w14:paraId="3CB723EA" w14:textId="25AE7113" w:rsidR="00C022E3" w:rsidRDefault="00C022E3">
      <w:pPr>
        <w:rPr>
          <w:i/>
        </w:rPr>
      </w:pPr>
    </w:p>
    <w:p w14:paraId="58E99F99" w14:textId="77777777" w:rsidR="00C022E3" w:rsidRDefault="00C022E3">
      <w:pPr>
        <w:pStyle w:val="Heading1"/>
      </w:pPr>
      <w:r>
        <w:t>4</w:t>
      </w:r>
      <w:r>
        <w:tab/>
        <w:t xml:space="preserve">Detailed </w:t>
      </w:r>
      <w:proofErr w:type="gramStart"/>
      <w:r>
        <w:t>proposal</w:t>
      </w:r>
      <w:proofErr w:type="gramEnd"/>
    </w:p>
    <w:p w14:paraId="6577673A" w14:textId="721D9E03" w:rsidR="001D4CDF" w:rsidRDefault="001D4CDF" w:rsidP="001D4CDF">
      <w:pPr>
        <w:rPr>
          <w:lang w:eastAsia="ko-KR"/>
        </w:rPr>
      </w:pPr>
      <w:r>
        <w:rPr>
          <w:lang w:eastAsia="ko-KR"/>
        </w:rPr>
        <w:t>Based on the provided analysis</w:t>
      </w:r>
      <w:r w:rsidR="003D74A7">
        <w:rPr>
          <w:lang w:eastAsia="ko-KR"/>
        </w:rPr>
        <w:t xml:space="preserve">, </w:t>
      </w:r>
      <w:r>
        <w:rPr>
          <w:lang w:eastAsia="ko-KR"/>
        </w:rPr>
        <w:t>it is proposed to endorse the use of A</w:t>
      </w:r>
      <w:r w:rsidRPr="000E20FD">
        <w:rPr>
          <w:lang w:eastAsia="ko-KR"/>
        </w:rPr>
        <w:t>ES</w:t>
      </w:r>
      <w:r>
        <w:rPr>
          <w:lang w:eastAsia="ko-KR"/>
        </w:rPr>
        <w:t xml:space="preserve"> with 128-bit keys in CCM mode and a 64-bit integrity tag in the case of XRM. The proposal is </w:t>
      </w:r>
      <w:r w:rsidR="00AF407B">
        <w:rPr>
          <w:lang w:eastAsia="ko-KR"/>
        </w:rPr>
        <w:t>reflected in the CR [1</w:t>
      </w:r>
      <w:r w:rsidR="00D31E0C">
        <w:rPr>
          <w:lang w:eastAsia="ko-KR"/>
        </w:rPr>
        <w:t>7</w:t>
      </w:r>
      <w:r w:rsidR="00AF407B">
        <w:rPr>
          <w:lang w:eastAsia="ko-KR"/>
        </w:rPr>
        <w:t>]</w:t>
      </w:r>
      <w:r w:rsidR="00D31E0C">
        <w:rPr>
          <w:lang w:eastAsia="ko-KR"/>
        </w:rPr>
        <w:t>.</w:t>
      </w:r>
    </w:p>
    <w:p w14:paraId="19D9572E" w14:textId="30C01934" w:rsidR="003B3C70" w:rsidRDefault="003B3C70">
      <w:pPr>
        <w:rPr>
          <w:i/>
        </w:rPr>
      </w:pPr>
    </w:p>
    <w:sectPr w:rsidR="003B3C7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6E8F0" w14:textId="77777777" w:rsidR="00AE4AEC" w:rsidRDefault="00AE4AEC">
      <w:r>
        <w:separator/>
      </w:r>
    </w:p>
  </w:endnote>
  <w:endnote w:type="continuationSeparator" w:id="0">
    <w:p w14:paraId="207626F3" w14:textId="77777777" w:rsidR="00AE4AEC" w:rsidRDefault="00AE4AEC">
      <w:r>
        <w:continuationSeparator/>
      </w:r>
    </w:p>
  </w:endnote>
  <w:endnote w:type="continuationNotice" w:id="1">
    <w:p w14:paraId="56E1DFA1" w14:textId="77777777" w:rsidR="00E972AE" w:rsidRDefault="00E97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Ericsson Hilda">
    <w:panose1 w:val="00000500000000000000"/>
    <w:charset w:val="00"/>
    <w:family w:val="auto"/>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604F9" w14:textId="77777777" w:rsidR="00AE4AEC" w:rsidRDefault="00AE4AEC">
      <w:r>
        <w:separator/>
      </w:r>
    </w:p>
  </w:footnote>
  <w:footnote w:type="continuationSeparator" w:id="0">
    <w:p w14:paraId="38A5EF41" w14:textId="77777777" w:rsidR="00AE4AEC" w:rsidRDefault="00AE4AEC">
      <w:r>
        <w:continuationSeparator/>
      </w:r>
    </w:p>
  </w:footnote>
  <w:footnote w:type="continuationNotice" w:id="1">
    <w:p w14:paraId="1975E169" w14:textId="77777777" w:rsidR="00E972AE" w:rsidRDefault="00E972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469782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38470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1008973">
    <w:abstractNumId w:val="13"/>
  </w:num>
  <w:num w:numId="4" w16cid:durableId="1865245383">
    <w:abstractNumId w:val="16"/>
  </w:num>
  <w:num w:numId="5" w16cid:durableId="948509246">
    <w:abstractNumId w:val="15"/>
  </w:num>
  <w:num w:numId="6" w16cid:durableId="1623730705">
    <w:abstractNumId w:val="11"/>
  </w:num>
  <w:num w:numId="7" w16cid:durableId="419908458">
    <w:abstractNumId w:val="12"/>
  </w:num>
  <w:num w:numId="8" w16cid:durableId="1621762648">
    <w:abstractNumId w:val="20"/>
  </w:num>
  <w:num w:numId="9" w16cid:durableId="1225607675">
    <w:abstractNumId w:val="18"/>
  </w:num>
  <w:num w:numId="10" w16cid:durableId="1701858269">
    <w:abstractNumId w:val="19"/>
  </w:num>
  <w:num w:numId="11" w16cid:durableId="797378099">
    <w:abstractNumId w:val="14"/>
  </w:num>
  <w:num w:numId="12" w16cid:durableId="151412147">
    <w:abstractNumId w:val="17"/>
  </w:num>
  <w:num w:numId="13" w16cid:durableId="1866021190">
    <w:abstractNumId w:val="9"/>
  </w:num>
  <w:num w:numId="14" w16cid:durableId="1608465843">
    <w:abstractNumId w:val="7"/>
  </w:num>
  <w:num w:numId="15" w16cid:durableId="1197161002">
    <w:abstractNumId w:val="6"/>
  </w:num>
  <w:num w:numId="16" w16cid:durableId="244001161">
    <w:abstractNumId w:val="5"/>
  </w:num>
  <w:num w:numId="17" w16cid:durableId="857280257">
    <w:abstractNumId w:val="4"/>
  </w:num>
  <w:num w:numId="18" w16cid:durableId="1199126686">
    <w:abstractNumId w:val="8"/>
  </w:num>
  <w:num w:numId="19" w16cid:durableId="1377579714">
    <w:abstractNumId w:val="3"/>
  </w:num>
  <w:num w:numId="20" w16cid:durableId="1819495571">
    <w:abstractNumId w:val="2"/>
  </w:num>
  <w:num w:numId="21" w16cid:durableId="1745224186">
    <w:abstractNumId w:val="1"/>
  </w:num>
  <w:num w:numId="22" w16cid:durableId="1871381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0A2C"/>
    <w:rsid w:val="00034FAF"/>
    <w:rsid w:val="000413F1"/>
    <w:rsid w:val="00046389"/>
    <w:rsid w:val="00067A9C"/>
    <w:rsid w:val="00074722"/>
    <w:rsid w:val="000819D8"/>
    <w:rsid w:val="000934A6"/>
    <w:rsid w:val="000A2C6C"/>
    <w:rsid w:val="000A4660"/>
    <w:rsid w:val="000C265C"/>
    <w:rsid w:val="000C72EF"/>
    <w:rsid w:val="000D1B5B"/>
    <w:rsid w:val="000F0BEF"/>
    <w:rsid w:val="0010401F"/>
    <w:rsid w:val="00110554"/>
    <w:rsid w:val="00112FC3"/>
    <w:rsid w:val="00116CAE"/>
    <w:rsid w:val="00173FA3"/>
    <w:rsid w:val="001842C7"/>
    <w:rsid w:val="00184B6F"/>
    <w:rsid w:val="001861E5"/>
    <w:rsid w:val="001B1652"/>
    <w:rsid w:val="001B33BD"/>
    <w:rsid w:val="001C3EC8"/>
    <w:rsid w:val="001C6BA4"/>
    <w:rsid w:val="001D2BD4"/>
    <w:rsid w:val="001D4CDF"/>
    <w:rsid w:val="001D6911"/>
    <w:rsid w:val="001F71C5"/>
    <w:rsid w:val="00201947"/>
    <w:rsid w:val="0020395B"/>
    <w:rsid w:val="002046CB"/>
    <w:rsid w:val="00204DC9"/>
    <w:rsid w:val="002062C0"/>
    <w:rsid w:val="00215130"/>
    <w:rsid w:val="00222A25"/>
    <w:rsid w:val="00230002"/>
    <w:rsid w:val="00244C9A"/>
    <w:rsid w:val="00247216"/>
    <w:rsid w:val="00286525"/>
    <w:rsid w:val="00294478"/>
    <w:rsid w:val="002A1857"/>
    <w:rsid w:val="002A5404"/>
    <w:rsid w:val="002C7F38"/>
    <w:rsid w:val="0030628A"/>
    <w:rsid w:val="00343D42"/>
    <w:rsid w:val="00346CEB"/>
    <w:rsid w:val="0035122B"/>
    <w:rsid w:val="00353451"/>
    <w:rsid w:val="00371032"/>
    <w:rsid w:val="00371B44"/>
    <w:rsid w:val="003875BB"/>
    <w:rsid w:val="0039129B"/>
    <w:rsid w:val="003B3C70"/>
    <w:rsid w:val="003C122B"/>
    <w:rsid w:val="003C4400"/>
    <w:rsid w:val="003C4D97"/>
    <w:rsid w:val="003C5A97"/>
    <w:rsid w:val="003C7A04"/>
    <w:rsid w:val="003D1DF8"/>
    <w:rsid w:val="003D40C7"/>
    <w:rsid w:val="003D74A7"/>
    <w:rsid w:val="003F52B2"/>
    <w:rsid w:val="003F6E74"/>
    <w:rsid w:val="00413068"/>
    <w:rsid w:val="004363BC"/>
    <w:rsid w:val="00436448"/>
    <w:rsid w:val="00440414"/>
    <w:rsid w:val="0044154B"/>
    <w:rsid w:val="00445580"/>
    <w:rsid w:val="004558E9"/>
    <w:rsid w:val="0045777E"/>
    <w:rsid w:val="00460B67"/>
    <w:rsid w:val="004959AC"/>
    <w:rsid w:val="004B2215"/>
    <w:rsid w:val="004B3753"/>
    <w:rsid w:val="004B6B1D"/>
    <w:rsid w:val="004C31D2"/>
    <w:rsid w:val="004D55C2"/>
    <w:rsid w:val="004E0F1B"/>
    <w:rsid w:val="004F1BE2"/>
    <w:rsid w:val="004F3275"/>
    <w:rsid w:val="00521131"/>
    <w:rsid w:val="00527C0B"/>
    <w:rsid w:val="005345E7"/>
    <w:rsid w:val="005410F6"/>
    <w:rsid w:val="00553928"/>
    <w:rsid w:val="00572426"/>
    <w:rsid w:val="005729C4"/>
    <w:rsid w:val="00575466"/>
    <w:rsid w:val="005769DE"/>
    <w:rsid w:val="0059227B"/>
    <w:rsid w:val="005B0966"/>
    <w:rsid w:val="005B09C2"/>
    <w:rsid w:val="005B795D"/>
    <w:rsid w:val="005C3F4A"/>
    <w:rsid w:val="005D2950"/>
    <w:rsid w:val="005E4005"/>
    <w:rsid w:val="005E4CF5"/>
    <w:rsid w:val="0060514A"/>
    <w:rsid w:val="00612B84"/>
    <w:rsid w:val="00613820"/>
    <w:rsid w:val="00652248"/>
    <w:rsid w:val="00653D23"/>
    <w:rsid w:val="00657A26"/>
    <w:rsid w:val="00657B80"/>
    <w:rsid w:val="00675B3C"/>
    <w:rsid w:val="00685089"/>
    <w:rsid w:val="0069495C"/>
    <w:rsid w:val="006A0F8B"/>
    <w:rsid w:val="006A4D04"/>
    <w:rsid w:val="006B4886"/>
    <w:rsid w:val="006C1426"/>
    <w:rsid w:val="006D340A"/>
    <w:rsid w:val="006F1D0F"/>
    <w:rsid w:val="00715A1D"/>
    <w:rsid w:val="0073628B"/>
    <w:rsid w:val="0075586E"/>
    <w:rsid w:val="00760BB0"/>
    <w:rsid w:val="0076157A"/>
    <w:rsid w:val="00766F37"/>
    <w:rsid w:val="0078412D"/>
    <w:rsid w:val="00784593"/>
    <w:rsid w:val="007A00EF"/>
    <w:rsid w:val="007A2619"/>
    <w:rsid w:val="007B19EA"/>
    <w:rsid w:val="007C01A2"/>
    <w:rsid w:val="007C0A2D"/>
    <w:rsid w:val="007C27B0"/>
    <w:rsid w:val="007E537E"/>
    <w:rsid w:val="007F300B"/>
    <w:rsid w:val="008014C3"/>
    <w:rsid w:val="008039D2"/>
    <w:rsid w:val="00804D2D"/>
    <w:rsid w:val="00807BE9"/>
    <w:rsid w:val="00850812"/>
    <w:rsid w:val="00872560"/>
    <w:rsid w:val="00872A76"/>
    <w:rsid w:val="00876B9A"/>
    <w:rsid w:val="00877A16"/>
    <w:rsid w:val="008841F2"/>
    <w:rsid w:val="008933BF"/>
    <w:rsid w:val="008A10C4"/>
    <w:rsid w:val="008B0248"/>
    <w:rsid w:val="008C128B"/>
    <w:rsid w:val="008D56D9"/>
    <w:rsid w:val="008D669E"/>
    <w:rsid w:val="008F5F33"/>
    <w:rsid w:val="0091046A"/>
    <w:rsid w:val="00926ABD"/>
    <w:rsid w:val="009271BA"/>
    <w:rsid w:val="00941A4E"/>
    <w:rsid w:val="00945FDA"/>
    <w:rsid w:val="00947F4E"/>
    <w:rsid w:val="00966D47"/>
    <w:rsid w:val="00992312"/>
    <w:rsid w:val="009B53DA"/>
    <w:rsid w:val="009C0DED"/>
    <w:rsid w:val="009D5020"/>
    <w:rsid w:val="009E6477"/>
    <w:rsid w:val="00A14F4B"/>
    <w:rsid w:val="00A37D7F"/>
    <w:rsid w:val="00A46410"/>
    <w:rsid w:val="00A57688"/>
    <w:rsid w:val="00A63BE1"/>
    <w:rsid w:val="00A72F1E"/>
    <w:rsid w:val="00A769E7"/>
    <w:rsid w:val="00A84A94"/>
    <w:rsid w:val="00A86BF7"/>
    <w:rsid w:val="00A96B4A"/>
    <w:rsid w:val="00AA1416"/>
    <w:rsid w:val="00AA5C23"/>
    <w:rsid w:val="00AB211E"/>
    <w:rsid w:val="00AC5741"/>
    <w:rsid w:val="00AD1324"/>
    <w:rsid w:val="00AD1DAA"/>
    <w:rsid w:val="00AD22A2"/>
    <w:rsid w:val="00AD7D49"/>
    <w:rsid w:val="00AE4AEC"/>
    <w:rsid w:val="00AF1E23"/>
    <w:rsid w:val="00AF407B"/>
    <w:rsid w:val="00AF7F81"/>
    <w:rsid w:val="00B01135"/>
    <w:rsid w:val="00B01AFF"/>
    <w:rsid w:val="00B01C41"/>
    <w:rsid w:val="00B05CC7"/>
    <w:rsid w:val="00B07045"/>
    <w:rsid w:val="00B27E39"/>
    <w:rsid w:val="00B30069"/>
    <w:rsid w:val="00B350D8"/>
    <w:rsid w:val="00B4702A"/>
    <w:rsid w:val="00B76763"/>
    <w:rsid w:val="00B7732B"/>
    <w:rsid w:val="00B8563A"/>
    <w:rsid w:val="00B879F0"/>
    <w:rsid w:val="00BB7A9D"/>
    <w:rsid w:val="00BC25AA"/>
    <w:rsid w:val="00BC43FF"/>
    <w:rsid w:val="00BD0084"/>
    <w:rsid w:val="00C022E3"/>
    <w:rsid w:val="00C4712D"/>
    <w:rsid w:val="00C555C9"/>
    <w:rsid w:val="00C656F4"/>
    <w:rsid w:val="00C66911"/>
    <w:rsid w:val="00C94F55"/>
    <w:rsid w:val="00CA6188"/>
    <w:rsid w:val="00CA7D62"/>
    <w:rsid w:val="00CB07A8"/>
    <w:rsid w:val="00CD4A57"/>
    <w:rsid w:val="00CE2F90"/>
    <w:rsid w:val="00CE30CA"/>
    <w:rsid w:val="00CF17DF"/>
    <w:rsid w:val="00CF3A76"/>
    <w:rsid w:val="00D138F3"/>
    <w:rsid w:val="00D17C86"/>
    <w:rsid w:val="00D31E0C"/>
    <w:rsid w:val="00D33604"/>
    <w:rsid w:val="00D373F3"/>
    <w:rsid w:val="00D37B08"/>
    <w:rsid w:val="00D437FF"/>
    <w:rsid w:val="00D5130C"/>
    <w:rsid w:val="00D62265"/>
    <w:rsid w:val="00D66B32"/>
    <w:rsid w:val="00D8512E"/>
    <w:rsid w:val="00DA0993"/>
    <w:rsid w:val="00DA10D8"/>
    <w:rsid w:val="00DA1E58"/>
    <w:rsid w:val="00DC56B9"/>
    <w:rsid w:val="00DE4EF2"/>
    <w:rsid w:val="00DF2C0E"/>
    <w:rsid w:val="00DF601E"/>
    <w:rsid w:val="00E00CC2"/>
    <w:rsid w:val="00E04DB6"/>
    <w:rsid w:val="00E05560"/>
    <w:rsid w:val="00E06FFB"/>
    <w:rsid w:val="00E1773F"/>
    <w:rsid w:val="00E24A94"/>
    <w:rsid w:val="00E30155"/>
    <w:rsid w:val="00E31849"/>
    <w:rsid w:val="00E37112"/>
    <w:rsid w:val="00E65F05"/>
    <w:rsid w:val="00E87D55"/>
    <w:rsid w:val="00E91FE1"/>
    <w:rsid w:val="00E972AE"/>
    <w:rsid w:val="00EA0D61"/>
    <w:rsid w:val="00EA1712"/>
    <w:rsid w:val="00EA5E95"/>
    <w:rsid w:val="00EC7814"/>
    <w:rsid w:val="00ED4954"/>
    <w:rsid w:val="00EE0943"/>
    <w:rsid w:val="00EE33A2"/>
    <w:rsid w:val="00EF52E5"/>
    <w:rsid w:val="00F00E37"/>
    <w:rsid w:val="00F3453D"/>
    <w:rsid w:val="00F54A0A"/>
    <w:rsid w:val="00F67A1C"/>
    <w:rsid w:val="00F805FD"/>
    <w:rsid w:val="00F82C5B"/>
    <w:rsid w:val="00F8555F"/>
    <w:rsid w:val="00FA2FB9"/>
    <w:rsid w:val="00FC63AA"/>
    <w:rsid w:val="00FE321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604D21"/>
  <w15:chartTrackingRefBased/>
  <w15:docId w15:val="{593FC8C4-8E23-47E0-A86A-9356BC452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Strong">
    <w:name w:val="Strong"/>
    <w:basedOn w:val="DefaultParagraphFont"/>
    <w:qFormat/>
    <w:rsid w:val="00460B67"/>
    <w:rPr>
      <w:b/>
      <w:bCs/>
    </w:rPr>
  </w:style>
  <w:style w:type="paragraph" w:styleId="Revision">
    <w:name w:val="Revision"/>
    <w:hidden/>
    <w:uiPriority w:val="99"/>
    <w:semiHidden/>
    <w:rsid w:val="008039D2"/>
    <w:rPr>
      <w:rFonts w:ascii="Times New Roman" w:hAnsi="Times New Roman"/>
      <w:lang w:val="en-GB" w:eastAsia="en-US"/>
    </w:rPr>
  </w:style>
  <w:style w:type="character" w:styleId="Mention">
    <w:name w:val="Mention"/>
    <w:basedOn w:val="DefaultParagraphFont"/>
    <w:uiPriority w:val="99"/>
    <w:unhideWhenUsed/>
    <w:rsid w:val="007C01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ADQ376F6HWTR-1074192144-9393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https://ericsson.sharepoint.com/sites/SRT/3GPP/_layouts/15/DocIdRedir.aspx?ID=ADQ376F6HWTR-1074192144-9393</Url>
      <Description>ADQ376F6HWTR-1074192144-9393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8B7C597-A98F-479B-B5D5-FAB05C4F9C9C}">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1E0376BE-EEFD-4751-B56D-8050D1F534E6}">
  <ds:schemaRefs>
    <ds:schemaRef ds:uri="http://schemas.microsoft.com/sharepoint/v3/contenttype/forms"/>
  </ds:schemaRefs>
</ds:datastoreItem>
</file>

<file path=customXml/itemProps3.xml><?xml version="1.0" encoding="utf-8"?>
<ds:datastoreItem xmlns:ds="http://schemas.openxmlformats.org/officeDocument/2006/customXml" ds:itemID="{1D45C2E2-3614-470F-9CE0-D1DEDE837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1F5CE5-0A3B-4161-B21A-5B9D9EC0ABBB}">
  <ds:schemaRefs>
    <ds:schemaRef ds:uri="http://schemas.microsoft.com/sharepoint/events"/>
  </ds:schemaRefs>
</ds:datastoreItem>
</file>

<file path=customXml/itemProps5.xml><?xml version="1.0" encoding="utf-8"?>
<ds:datastoreItem xmlns:ds="http://schemas.openxmlformats.org/officeDocument/2006/customXml" ds:itemID="{1AD772EB-E42B-4A9B-BF18-F41DF29CA05B}">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1371</Words>
  <Characters>7819</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2025-05-12T13:49:00Z</dcterms:created>
  <dcterms:modified xsi:type="dcterms:W3CDTF">2025-05-12T13:49:00Z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sflag">
    <vt:lpwstr>1243237843</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e9e30bd5-299e-408d-ac9e-539dff62c0c4</vt:lpwstr>
  </property>
</Properties>
</file>